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eastAsia" w:asciiTheme="minorEastAsia" w:hAnsiTheme="minorEastAsia" w:cstheme="minorEastAsia"/>
          <w:b/>
          <w:sz w:val="36"/>
          <w:szCs w:val="36"/>
        </w:rPr>
      </w:pPr>
      <w:r>
        <w:rPr>
          <w:rFonts w:hint="eastAsia" w:asciiTheme="minorEastAsia" w:hAnsiTheme="minorEastAsia" w:cstheme="minorEastAsia"/>
          <w:b/>
          <w:sz w:val="36"/>
          <w:szCs w:val="36"/>
        </w:rPr>
        <w:t>岳阳观盛投资发展有限公司办公场所整体搬迁</w:t>
      </w:r>
    </w:p>
    <w:p>
      <w:p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招标公告</w:t>
      </w:r>
    </w:p>
    <w:p>
      <w:pPr>
        <w:pStyle w:val="2"/>
        <w:ind w:firstLine="0" w:firstLineChars="0"/>
        <w:rPr>
          <w:rFonts w:asciiTheme="minorEastAsia" w:hAnsiTheme="minorEastAsia" w:cstheme="minorEastAsia"/>
          <w:bCs w:val="0"/>
          <w:color w:val="auto"/>
          <w:kern w:val="2"/>
          <w:sz w:val="28"/>
          <w:szCs w:val="28"/>
        </w:rPr>
      </w:pPr>
      <w:r>
        <w:rPr>
          <w:rFonts w:hint="eastAsia"/>
        </w:rPr>
        <w:t xml:space="preserve"> </w:t>
      </w:r>
      <w:r>
        <w:rPr>
          <w:rFonts w:hint="eastAsia" w:asciiTheme="minorEastAsia" w:hAnsiTheme="minorEastAsia" w:cstheme="minorEastAsia"/>
          <w:bCs w:val="0"/>
          <w:color w:val="auto"/>
          <w:kern w:val="2"/>
          <w:sz w:val="28"/>
          <w:szCs w:val="28"/>
        </w:rPr>
        <w:t xml:space="preserve">   </w:t>
      </w:r>
    </w:p>
    <w:p>
      <w:pPr>
        <w:pStyle w:val="2"/>
        <w:ind w:firstLine="560" w:firstLineChars="200"/>
        <w:rPr>
          <w:rFonts w:asciiTheme="minorEastAsia" w:hAnsiTheme="minorEastAsia" w:cstheme="minorEastAsia"/>
          <w:color w:val="auto"/>
          <w:sz w:val="28"/>
          <w:szCs w:val="28"/>
        </w:rPr>
      </w:pP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sz w:val="28"/>
          <w:szCs w:val="28"/>
        </w:rPr>
        <w:t>本次招标金额在国家规定公开招标限额以下，由我司依法依规自行组织，采用简易招标方式确定中标单位。</w:t>
      </w:r>
    </w:p>
    <w:p>
      <w:pPr>
        <w:pStyle w:val="3"/>
        <w:numPr>
          <w:ilvl w:val="0"/>
          <w:numId w:val="1"/>
        </w:numPr>
        <w:adjustRightInd w:val="0"/>
        <w:snapToGrid w:val="0"/>
        <w:spacing w:after="0"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pPr>
        <w:adjustRightInd w:val="0"/>
        <w:snapToGrid w:val="0"/>
        <w:spacing w:line="360" w:lineRule="auto"/>
        <w:ind w:firstLine="560" w:firstLineChars="200"/>
        <w:rPr>
          <w:rFonts w:hint="eastAsia" w:asciiTheme="minorEastAsia" w:hAnsiTheme="minorEastAsia" w:cstheme="minorEastAsia"/>
          <w:sz w:val="28"/>
          <w:szCs w:val="28"/>
        </w:rPr>
      </w:pPr>
      <w:r>
        <w:rPr>
          <w:rFonts w:hint="eastAsia" w:asciiTheme="minorEastAsia" w:hAnsiTheme="minorEastAsia" w:cstheme="minorEastAsia"/>
          <w:sz w:val="28"/>
          <w:szCs w:val="28"/>
        </w:rPr>
        <w:t>1、项目名称：岳阳观盛投资发展有限公司办公场所整体搬迁</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2、建设地点：湖南城陵矶综合保税区</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3、项目基本情况：</w:t>
      </w:r>
    </w:p>
    <w:p>
      <w:pPr>
        <w:adjustRightInd w:val="0"/>
        <w:snapToGrid w:val="0"/>
        <w:spacing w:line="360" w:lineRule="auto"/>
        <w:ind w:firstLine="560" w:firstLineChars="200"/>
        <w:rPr>
          <w:rFonts w:hint="eastAsia" w:asciiTheme="minorEastAsia" w:hAnsiTheme="minorEastAsia" w:cstheme="minorEastAsia"/>
          <w:sz w:val="28"/>
          <w:szCs w:val="28"/>
          <w:u w:val="single"/>
        </w:rPr>
      </w:pPr>
      <w:r>
        <w:rPr>
          <w:rFonts w:hint="eastAsia" w:asciiTheme="minorEastAsia" w:hAnsiTheme="minorEastAsia" w:cstheme="minorEastAsia"/>
          <w:sz w:val="28"/>
          <w:szCs w:val="28"/>
          <w:u w:val="single"/>
        </w:rPr>
        <w:t xml:space="preserve"> 岳阳观盛投资发展有限公司办公场所整体搬迁</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u w:val="single"/>
          <w:lang w:val="en-US" w:eastAsia="zh-CN"/>
        </w:rPr>
        <w:t>49740</w:t>
      </w:r>
      <w:r>
        <w:rPr>
          <w:rFonts w:asciiTheme="minorEastAsia" w:hAnsiTheme="minorEastAsia" w:cstheme="minorEastAsia"/>
          <w:sz w:val="28"/>
          <w:szCs w:val="28"/>
          <w:u w:val="single"/>
        </w:rPr>
        <w:t>元</w:t>
      </w:r>
      <w:r>
        <w:rPr>
          <w:rFonts w:hint="eastAsia" w:asciiTheme="minorEastAsia" w:hAnsiTheme="minorEastAsia" w:cstheme="minorEastAsia"/>
          <w:sz w:val="28"/>
          <w:szCs w:val="28"/>
        </w:rPr>
        <w:t>；</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5、设计时间要求：见发包人要求；</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6、招标范围：详见发包人核发资料</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7、质量要求：</w:t>
      </w:r>
      <w:r>
        <w:rPr>
          <w:rFonts w:hint="eastAsia" w:asciiTheme="minorEastAsia" w:hAnsiTheme="minorEastAsia" w:cstheme="minorEastAsia"/>
          <w:sz w:val="28"/>
          <w:szCs w:val="28"/>
          <w:u w:val="single"/>
        </w:rPr>
        <w:t>符合发包人要求</w:t>
      </w:r>
    </w:p>
    <w:p>
      <w:pPr>
        <w:numPr>
          <w:ilvl w:val="0"/>
          <w:numId w:val="1"/>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1、具有独立法人资格并依法取得企业营业执照，营业执照处于有效期</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rPr>
        <w:t>分支机构的需总公司具有独立法人资格并依法取得企业营业执照，营业执照处于有效期；；</w:t>
      </w:r>
    </w:p>
    <w:p>
      <w:pPr>
        <w:pStyle w:val="3"/>
        <w:adjustRightInd w:val="0"/>
        <w:snapToGrid w:val="0"/>
        <w:spacing w:line="360" w:lineRule="auto"/>
        <w:ind w:firstLine="560" w:firstLineChars="200"/>
        <w:rPr>
          <w:rFonts w:asciiTheme="minorEastAsia" w:hAnsiTheme="minorEastAsia" w:cstheme="minorEastAsia"/>
          <w:sz w:val="28"/>
          <w:szCs w:val="28"/>
        </w:rPr>
      </w:pPr>
      <w:r>
        <w:rPr>
          <w:rFonts w:asciiTheme="minorEastAsia" w:hAnsiTheme="minorEastAsia" w:cstheme="minorEastAsia"/>
          <w:sz w:val="28"/>
          <w:szCs w:val="28"/>
        </w:rPr>
        <w:t>2</w:t>
      </w:r>
      <w:r>
        <w:rPr>
          <w:rFonts w:hint="eastAsia" w:asciiTheme="minorEastAsia" w:hAnsiTheme="minorEastAsia" w:cstheme="minorEastAsia"/>
          <w:sz w:val="28"/>
          <w:szCs w:val="28"/>
        </w:rPr>
        <w:t>、无不良信用记录，提供在“信用中国”的查询复印件加盖公章。</w:t>
      </w:r>
    </w:p>
    <w:p>
      <w:pPr>
        <w:pStyle w:val="3"/>
        <w:numPr>
          <w:ilvl w:val="0"/>
          <w:numId w:val="1"/>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pPr>
        <w:pStyle w:val="3"/>
        <w:adjustRightInd w:val="0"/>
        <w:snapToGrid w:val="0"/>
        <w:spacing w:line="360" w:lineRule="auto"/>
        <w:rPr>
          <w:rFonts w:asciiTheme="minorEastAsia" w:hAnsiTheme="minorEastAsia" w:cstheme="minorEastAsia"/>
          <w:b/>
          <w:sz w:val="28"/>
          <w:szCs w:val="28"/>
        </w:rPr>
      </w:pPr>
      <w:r>
        <w:rPr>
          <w:rFonts w:hint="eastAsia" w:asciiTheme="minorEastAsia" w:hAnsiTheme="minorEastAsia" w:cstheme="minorEastAsia"/>
          <w:sz w:val="28"/>
          <w:szCs w:val="28"/>
        </w:rPr>
        <w:t xml:space="preserve">    开标时现场核验，提供授权委托书、营业执照、资质证书、“信用中国”的查询报告（以上复印件加盖公章）。</w:t>
      </w:r>
    </w:p>
    <w:p>
      <w:pPr>
        <w:pStyle w:val="3"/>
        <w:numPr>
          <w:ilvl w:val="0"/>
          <w:numId w:val="1"/>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pPr>
        <w:adjustRightInd w:val="0"/>
        <w:snapToGrid w:val="0"/>
        <w:spacing w:line="360" w:lineRule="auto"/>
        <w:ind w:firstLine="560" w:firstLineChars="200"/>
        <w:rPr>
          <w:rFonts w:asciiTheme="minorEastAsia" w:hAnsiTheme="minorEastAsia" w:cstheme="minorEastAsia"/>
          <w:color w:val="FF0000"/>
          <w:sz w:val="28"/>
          <w:szCs w:val="28"/>
        </w:rPr>
      </w:pPr>
      <w:r>
        <w:rPr>
          <w:rFonts w:hint="eastAsia" w:asciiTheme="minorEastAsia" w:hAnsiTheme="minorEastAsia" w:cstheme="minorEastAsia"/>
          <w:sz w:val="28"/>
          <w:szCs w:val="28"/>
        </w:rPr>
        <w:t>本次招标采用“最低价法”评标。参与本项目的投标者即视为接受本项目上限控制价规定，在该控制价基础上投标单位报价最低者确定为中标单位。</w:t>
      </w:r>
    </w:p>
    <w:p>
      <w:pPr>
        <w:pStyle w:val="3"/>
        <w:numPr>
          <w:ilvl w:val="0"/>
          <w:numId w:val="1"/>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投标文件须包含授权委托书及身份证明、营业执照、资质证书、“信用中国”的查询报告、投标清单（以上复印件须加盖公章），</w:t>
      </w:r>
      <w:r>
        <w:rPr>
          <w:rFonts w:hint="eastAsia" w:asciiTheme="minorEastAsia" w:hAnsiTheme="minorEastAsia" w:cstheme="minorEastAsia"/>
          <w:w w:val="100"/>
          <w:sz w:val="28"/>
          <w:szCs w:val="28"/>
        </w:rPr>
        <w:t>投标文件递交的截止时间为</w:t>
      </w:r>
      <w:r>
        <w:rPr>
          <w:rFonts w:hint="eastAsia" w:asciiTheme="minorEastAsia" w:hAnsiTheme="minorEastAsia" w:cstheme="minorEastAsia"/>
          <w:w w:val="100"/>
          <w:sz w:val="28"/>
          <w:szCs w:val="28"/>
          <w:highlight w:val="none"/>
          <w:u w:val="single"/>
          <w:lang w:val="en-US" w:eastAsia="zh-CN"/>
        </w:rPr>
        <w:t>2024</w:t>
      </w:r>
      <w:r>
        <w:rPr>
          <w:rFonts w:hint="eastAsia" w:asciiTheme="minorEastAsia" w:hAnsiTheme="minorEastAsia" w:cstheme="minorEastAsia"/>
          <w:w w:val="100"/>
          <w:sz w:val="28"/>
          <w:szCs w:val="28"/>
          <w:highlight w:val="none"/>
          <w:u w:val="single"/>
        </w:rPr>
        <w:t>年</w:t>
      </w:r>
      <w:r>
        <w:rPr>
          <w:rFonts w:hint="eastAsia" w:asciiTheme="minorEastAsia" w:hAnsiTheme="minorEastAsia" w:cstheme="minorEastAsia"/>
          <w:w w:val="100"/>
          <w:sz w:val="28"/>
          <w:szCs w:val="28"/>
          <w:highlight w:val="none"/>
          <w:u w:val="single"/>
          <w:lang w:val="en-US" w:eastAsia="zh-CN"/>
        </w:rPr>
        <w:t>1</w:t>
      </w:r>
      <w:r>
        <w:rPr>
          <w:rFonts w:hint="eastAsia" w:asciiTheme="minorEastAsia" w:hAnsiTheme="minorEastAsia" w:cstheme="minorEastAsia"/>
          <w:w w:val="100"/>
          <w:sz w:val="28"/>
          <w:szCs w:val="28"/>
          <w:highlight w:val="none"/>
          <w:u w:val="single"/>
        </w:rPr>
        <w:t>月</w:t>
      </w:r>
      <w:r>
        <w:rPr>
          <w:rFonts w:hint="eastAsia" w:asciiTheme="minorEastAsia" w:hAnsiTheme="minorEastAsia" w:cstheme="minorEastAsia"/>
          <w:w w:val="100"/>
          <w:sz w:val="28"/>
          <w:szCs w:val="28"/>
          <w:highlight w:val="none"/>
          <w:u w:val="single"/>
          <w:lang w:val="en-US" w:eastAsia="zh-CN"/>
        </w:rPr>
        <w:t xml:space="preserve">25 </w:t>
      </w:r>
      <w:r>
        <w:rPr>
          <w:rFonts w:hint="eastAsia" w:asciiTheme="minorEastAsia" w:hAnsiTheme="minorEastAsia" w:cstheme="minorEastAsia"/>
          <w:w w:val="100"/>
          <w:sz w:val="28"/>
          <w:szCs w:val="28"/>
          <w:highlight w:val="none"/>
          <w:u w:val="single"/>
        </w:rPr>
        <w:t>日</w:t>
      </w:r>
      <w:r>
        <w:rPr>
          <w:rFonts w:hint="eastAsia" w:asciiTheme="minorEastAsia" w:hAnsiTheme="minorEastAsia" w:cstheme="minorEastAsia"/>
          <w:w w:val="100"/>
          <w:sz w:val="28"/>
          <w:szCs w:val="28"/>
          <w:highlight w:val="none"/>
          <w:u w:val="single"/>
          <w:lang w:eastAsia="zh-CN"/>
        </w:rPr>
        <w:t>上</w:t>
      </w:r>
      <w:r>
        <w:rPr>
          <w:rFonts w:hint="eastAsia" w:asciiTheme="minorEastAsia" w:hAnsiTheme="minorEastAsia" w:cstheme="minorEastAsia"/>
          <w:w w:val="100"/>
          <w:sz w:val="28"/>
          <w:szCs w:val="28"/>
          <w:highlight w:val="none"/>
          <w:u w:val="single"/>
          <w:lang w:val="en-US" w:eastAsia="zh-CN"/>
        </w:rPr>
        <w:t>午</w:t>
      </w:r>
      <w:r>
        <w:rPr>
          <w:rFonts w:hint="eastAsia" w:asciiTheme="minorEastAsia" w:hAnsiTheme="minorEastAsia" w:cstheme="minorEastAsia"/>
          <w:w w:val="100"/>
          <w:sz w:val="28"/>
          <w:szCs w:val="28"/>
          <w:highlight w:val="none"/>
          <w:u w:val="single"/>
        </w:rPr>
        <w:t>1</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时</w:t>
      </w:r>
      <w:r>
        <w:rPr>
          <w:rFonts w:hint="eastAsia" w:asciiTheme="minorEastAsia" w:hAnsiTheme="minorEastAsia" w:cstheme="minorEastAsia"/>
          <w:w w:val="100"/>
          <w:sz w:val="28"/>
          <w:szCs w:val="28"/>
          <w:highlight w:val="none"/>
          <w:u w:val="single"/>
          <w:lang w:val="en-US" w:eastAsia="zh-CN"/>
        </w:rPr>
        <w:t>0</w:t>
      </w:r>
      <w:r>
        <w:rPr>
          <w:rFonts w:hint="eastAsia" w:asciiTheme="minorEastAsia" w:hAnsiTheme="minorEastAsia" w:cstheme="minorEastAsia"/>
          <w:w w:val="100"/>
          <w:sz w:val="28"/>
          <w:szCs w:val="28"/>
          <w:highlight w:val="none"/>
          <w:u w:val="single"/>
        </w:rPr>
        <w:t>0分</w:t>
      </w:r>
      <w:r>
        <w:rPr>
          <w:rFonts w:hint="eastAsia" w:asciiTheme="minorEastAsia" w:hAnsiTheme="minorEastAsia" w:cstheme="minorEastAsia"/>
          <w:w w:val="100"/>
          <w:sz w:val="28"/>
          <w:szCs w:val="28"/>
        </w:rPr>
        <w:t>，开标地点为</w:t>
      </w:r>
      <w:r>
        <w:rPr>
          <w:rFonts w:hint="eastAsia" w:asciiTheme="minorEastAsia" w:hAnsiTheme="minorEastAsia" w:cstheme="minorEastAsia"/>
          <w:w w:val="100"/>
          <w:sz w:val="28"/>
          <w:szCs w:val="28"/>
          <w:lang w:val="en-US" w:eastAsia="zh-CN"/>
        </w:rPr>
        <w:t>岳阳观盛投资发展有限公司5楼</w:t>
      </w:r>
      <w:r>
        <w:rPr>
          <w:rFonts w:hint="eastAsia" w:asciiTheme="minorEastAsia" w:hAnsiTheme="minorEastAsia" w:cstheme="minorEastAsia"/>
          <w:w w:val="100"/>
          <w:sz w:val="28"/>
          <w:szCs w:val="28"/>
        </w:rPr>
        <w:t>会议室。</w:t>
      </w:r>
    </w:p>
    <w:p>
      <w:pPr>
        <w:pStyle w:val="3"/>
        <w:numPr>
          <w:ilvl w:val="0"/>
          <w:numId w:val="1"/>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招标公告在岳阳观盛投资发展有限公司官网（http://www.yyguansheng.com/）发布。</w:t>
      </w:r>
    </w:p>
    <w:p>
      <w:pPr>
        <w:pStyle w:val="3"/>
        <w:numPr>
          <w:ilvl w:val="0"/>
          <w:numId w:val="1"/>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本次询价比选过程由我公司综合事务部门进行监督。</w:t>
      </w:r>
    </w:p>
    <w:p>
      <w:pPr>
        <w:pStyle w:val="3"/>
        <w:numPr>
          <w:ilvl w:val="0"/>
          <w:numId w:val="1"/>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pPr>
        <w:pStyle w:val="3"/>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中标单位须遵守我司相关管理制度，中标后一周内与我公司签订合同，如中标人违反我公司相关规定，将列入黑名单，5年内不允许再参与本司业务。</w:t>
      </w:r>
    </w:p>
    <w:p>
      <w:pPr>
        <w:pStyle w:val="3"/>
        <w:numPr>
          <w:ilvl w:val="0"/>
          <w:numId w:val="1"/>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 岳阳观盛投资发展有限公司         </w:t>
      </w:r>
    </w:p>
    <w:p>
      <w:pPr>
        <w:pStyle w:val="3"/>
        <w:adjustRightInd w:val="0"/>
        <w:snapToGrid w:val="0"/>
        <w:spacing w:line="360" w:lineRule="auto"/>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地    址： </w:t>
      </w:r>
      <w:r>
        <w:rPr>
          <w:rFonts w:hint="eastAsia" w:asciiTheme="minorEastAsia" w:hAnsiTheme="minorEastAsia" w:cstheme="minorEastAsia"/>
          <w:sz w:val="28"/>
          <w:szCs w:val="28"/>
          <w:lang w:val="en-US" w:eastAsia="zh-CN"/>
        </w:rPr>
        <w:t>岳阳观盛投资发展有限公司5楼</w:t>
      </w:r>
      <w:r>
        <w:rPr>
          <w:rFonts w:hint="eastAsia" w:asciiTheme="minorEastAsia" w:hAnsiTheme="minorEastAsia" w:cstheme="minorEastAsia"/>
          <w:sz w:val="28"/>
          <w:szCs w:val="28"/>
        </w:rPr>
        <w:t>会议室</w:t>
      </w:r>
    </w:p>
    <w:p>
      <w:pPr>
        <w:pStyle w:val="3"/>
        <w:adjustRightInd w:val="0"/>
        <w:snapToGrid w:val="0"/>
        <w:spacing w:line="360" w:lineRule="auto"/>
        <w:rPr>
          <w:rFonts w:asciiTheme="minorEastAsia" w:hAnsiTheme="minorEastAsia" w:cstheme="minorEastAsia"/>
          <w:sz w:val="28"/>
          <w:szCs w:val="28"/>
        </w:rPr>
      </w:pPr>
      <w:bookmarkStart w:id="4" w:name="_GoBack"/>
      <w:bookmarkEnd w:id="4"/>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 xml:space="preserve">     朴亮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电    话： </w:t>
      </w:r>
      <w:r>
        <w:rPr>
          <w:rFonts w:hint="eastAsia" w:asciiTheme="minorEastAsia" w:hAnsiTheme="minorEastAsia" w:cstheme="minorEastAsia"/>
          <w:sz w:val="28"/>
          <w:szCs w:val="28"/>
          <w:u w:val="single"/>
        </w:rPr>
        <w:t xml:space="preserve">   18073085007   </w:t>
      </w:r>
      <w:r>
        <w:rPr>
          <w:rFonts w:hint="eastAsia" w:asciiTheme="minorEastAsia" w:hAnsiTheme="minorEastAsia" w:cstheme="minorEastAsia"/>
          <w:sz w:val="28"/>
          <w:szCs w:val="28"/>
        </w:rPr>
        <w:t xml:space="preserve">  </w:t>
      </w:r>
    </w:p>
    <w:p>
      <w:pPr>
        <w:pStyle w:val="3"/>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邮    箱： funny@yyguansheng.com </w:t>
      </w:r>
    </w:p>
    <w:p>
      <w:pPr>
        <w:widowControl/>
        <w:jc w:val="center"/>
        <w:outlineLvl w:val="0"/>
        <w:rPr>
          <w:rFonts w:asciiTheme="minorEastAsia" w:hAnsiTheme="minorEastAsia" w:cstheme="minorEastAsia"/>
          <w:b/>
          <w:sz w:val="36"/>
          <w:szCs w:val="36"/>
        </w:rPr>
      </w:pPr>
      <w:bookmarkStart w:id="0" w:name="_Toc1533"/>
      <w:bookmarkStart w:id="1" w:name="_Toc6728"/>
      <w:bookmarkStart w:id="2" w:name="_Toc5650"/>
    </w:p>
    <w:p>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第二章  投标人须知</w:t>
      </w:r>
      <w:bookmarkEnd w:id="0"/>
      <w:bookmarkEnd w:id="1"/>
      <w:bookmarkEnd w:id="2"/>
    </w:p>
    <w:p>
      <w:pPr>
        <w:rPr>
          <w:rFonts w:asciiTheme="minorEastAsia" w:hAnsiTheme="minorEastAsia" w:cstheme="minorEastAsia"/>
        </w:rPr>
      </w:pPr>
    </w:p>
    <w:tbl>
      <w:tblPr>
        <w:tblStyle w:val="10"/>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70" w:type="dxa"/>
            <w:noWrap/>
            <w:vAlign w:val="center"/>
          </w:tcPr>
          <w:p>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6096" w:type="dxa"/>
            <w:noWrap/>
            <w:vAlign w:val="center"/>
          </w:tcPr>
          <w:p>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70" w:type="dxa"/>
            <w:noWrap/>
            <w:vAlign w:val="center"/>
          </w:tcPr>
          <w:p>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pPr>
              <w:ind w:firstLine="105" w:firstLineChars="50"/>
              <w:jc w:val="center"/>
            </w:pPr>
            <w:r>
              <w:rPr>
                <w:rFonts w:hint="eastAsia" w:asciiTheme="minorEastAsia" w:hAnsiTheme="minorEastAsia" w:cstheme="minorEastAsia"/>
                <w:szCs w:val="21"/>
              </w:rPr>
              <w:t>联合体投标</w:t>
            </w:r>
          </w:p>
        </w:tc>
        <w:tc>
          <w:tcPr>
            <w:tcW w:w="6096" w:type="dxa"/>
            <w:noWrap/>
            <w:vAlign w:val="center"/>
          </w:tcPr>
          <w:p>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70" w:type="dxa"/>
            <w:noWrap/>
            <w:vAlign w:val="center"/>
          </w:tcPr>
          <w:p>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6096" w:type="dxa"/>
            <w:noWrap/>
            <w:vAlign w:val="center"/>
          </w:tcPr>
          <w:p>
            <w:pPr>
              <w:rPr>
                <w:rFonts w:asciiTheme="minorEastAsia" w:hAnsiTheme="minorEastAsia" w:cstheme="minorEastAsia"/>
                <w:strike/>
                <w:szCs w:val="21"/>
              </w:rPr>
            </w:pPr>
            <w:r>
              <w:rPr>
                <w:rFonts w:hint="eastAsia" w:asciiTheme="minorEastAsia" w:hAnsiTheme="minorEastAsia" w:cstheme="minorEastAsia"/>
                <w:szCs w:val="21"/>
              </w:rPr>
              <w:t>不组织，可自行自行踏勘。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u w:val="single"/>
              </w:rPr>
              <w:t xml:space="preserve">年 </w:t>
            </w:r>
            <w:r>
              <w:rPr>
                <w:rFonts w:hint="eastAsia" w:asciiTheme="minorEastAsia" w:hAnsiTheme="minorEastAsia" w:cstheme="minorEastAsia"/>
                <w:szCs w:val="21"/>
                <w:u w:val="single"/>
                <w:lang w:val="en-US" w:eastAsia="zh-CN"/>
              </w:rPr>
              <w:t>1</w:t>
            </w:r>
            <w:r>
              <w:rPr>
                <w:rFonts w:hint="eastAsia" w:asciiTheme="minorEastAsia" w:hAnsiTheme="minorEastAsia" w:cstheme="minorEastAsia"/>
                <w:szCs w:val="21"/>
                <w:u w:val="single"/>
              </w:rPr>
              <w:t xml:space="preserve">月 </w:t>
            </w:r>
            <w:r>
              <w:rPr>
                <w:rFonts w:hint="eastAsia" w:asciiTheme="minorEastAsia" w:hAnsiTheme="minorEastAsia" w:cstheme="minorEastAsia"/>
                <w:szCs w:val="21"/>
                <w:u w:val="single"/>
                <w:lang w:val="en-US" w:eastAsia="zh-CN"/>
              </w:rPr>
              <w:t>25</w:t>
            </w:r>
            <w:r>
              <w:rPr>
                <w:rFonts w:hint="eastAsia" w:asciiTheme="minorEastAsia" w:hAnsiTheme="minorEastAsia" w:cstheme="minorEastAsia"/>
                <w:szCs w:val="21"/>
                <w:u w:val="single"/>
              </w:rPr>
              <w:t xml:space="preserve"> 日</w:t>
            </w:r>
            <w:r>
              <w:rPr>
                <w:rFonts w:hint="eastAsia" w:asciiTheme="minorEastAsia" w:hAnsiTheme="minorEastAsia" w:cstheme="minorEastAsia"/>
                <w:szCs w:val="21"/>
                <w:u w:val="single"/>
                <w:lang w:val="en-US" w:eastAsia="zh-CN"/>
              </w:rPr>
              <w:t>9</w:t>
            </w:r>
            <w:r>
              <w:rPr>
                <w:rFonts w:hint="eastAsia" w:asciiTheme="minorEastAsia" w:hAnsiTheme="minorEastAsia" w:cstheme="minorEastAsia"/>
                <w:szCs w:val="21"/>
                <w:u w:val="single"/>
              </w:rPr>
              <w:t>时</w:t>
            </w:r>
            <w:r>
              <w:rPr>
                <w:rFonts w:hint="eastAsia" w:asciiTheme="minorEastAsia" w:hAnsiTheme="minorEastAsia" w:cstheme="minorEastAsia"/>
                <w:szCs w:val="21"/>
                <w:u w:val="single"/>
                <w:lang w:val="en-US" w:eastAsia="zh-CN"/>
              </w:rPr>
              <w:t>3</w:t>
            </w:r>
            <w:r>
              <w:rPr>
                <w:rFonts w:hint="eastAsia" w:asciiTheme="minorEastAsia" w:hAnsiTheme="minorEastAsia" w:cstheme="minorEastAsia"/>
                <w:szCs w:val="21"/>
                <w:u w:val="single"/>
              </w:rPr>
              <w:t>0分</w:t>
            </w:r>
            <w:r>
              <w:rPr>
                <w:rFonts w:hint="eastAsia" w:asciiTheme="minorEastAsia" w:hAnsiTheme="minorEastAsia" w:cstheme="minorEastAsia"/>
                <w:szCs w:val="21"/>
              </w:rPr>
              <w:t xml:space="preserve"> 。</w:t>
            </w:r>
          </w:p>
          <w:p>
            <w:pPr>
              <w:rPr>
                <w:rFonts w:asciiTheme="minorEastAsia" w:hAnsiTheme="minorEastAsia" w:cstheme="minorEastAsia"/>
                <w:szCs w:val="21"/>
              </w:rPr>
            </w:pPr>
            <w:r>
              <w:rPr>
                <w:rFonts w:hint="eastAsia" w:asciiTheme="minorEastAsia" w:hAnsiTheme="minorEastAsia" w:cstheme="minorEastAsia"/>
                <w:szCs w:val="21"/>
              </w:rPr>
              <w:t>邮件发送。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u w:val="single"/>
              </w:rPr>
              <w:t>202</w:t>
            </w:r>
            <w:r>
              <w:rPr>
                <w:rFonts w:hint="eastAsia" w:asciiTheme="minorEastAsia" w:hAnsiTheme="minorEastAsia" w:cstheme="minorEastAsia"/>
                <w:szCs w:val="21"/>
                <w:u w:val="single"/>
                <w:lang w:val="en-US" w:eastAsia="zh-CN"/>
              </w:rPr>
              <w:t>4</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1</w:t>
            </w:r>
            <w:r>
              <w:rPr>
                <w:rFonts w:hint="eastAsia" w:asciiTheme="minorEastAsia" w:hAnsiTheme="minorEastAsia" w:cstheme="minorEastAsia"/>
                <w:szCs w:val="21"/>
              </w:rPr>
              <w:t>月</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u w:val="single"/>
                <w:lang w:val="en-US" w:eastAsia="zh-CN"/>
              </w:rPr>
              <w:t>25</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日9时30分。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同投标截止时间，开标及投标文件递交地点。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澄清和修改</w:t>
            </w:r>
          </w:p>
          <w:p>
            <w:pPr>
              <w:jc w:val="center"/>
              <w:rPr>
                <w:rFonts w:asciiTheme="minorEastAsia" w:hAnsiTheme="minorEastAsia" w:cstheme="minorEastAsia"/>
                <w:szCs w:val="21"/>
              </w:rPr>
            </w:pPr>
            <w:r>
              <w:rPr>
                <w:rFonts w:hint="eastAsia" w:asciiTheme="minorEastAsia" w:hAnsiTheme="minorEastAsia" w:cstheme="minorEastAsia"/>
                <w:szCs w:val="21"/>
              </w:rPr>
              <w:t>招标文件的</w:t>
            </w:r>
          </w:p>
          <w:p>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在岳阳观盛投资发展有限公司官网上发布。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609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投标文件应当并加盖投标人的单位公章。投标人加盖的单位公章与其营业执照的单位名称应当一致。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6096" w:type="dxa"/>
            <w:noWrap/>
            <w:vAlign w:val="center"/>
          </w:tcPr>
          <w:p>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胶装。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评标委员会由招标人综合事务部门组成，并接受有效投标人现场监督，当场唱标登记。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6096" w:type="dxa"/>
            <w:noWrap/>
            <w:vAlign w:val="center"/>
          </w:tcPr>
          <w:p>
            <w:pPr>
              <w:ind w:firstLine="420" w:firstLineChars="200"/>
              <w:rPr>
                <w:rFonts w:asciiTheme="minorEastAsia" w:hAnsiTheme="minorEastAsia" w:cstheme="minorEastAsia"/>
                <w:szCs w:val="21"/>
              </w:rPr>
            </w:pPr>
            <w:r>
              <w:rPr>
                <w:rFonts w:hint="eastAsia" w:asciiTheme="minorEastAsia" w:hAnsiTheme="minorEastAsia" w:cstheme="minorEastAsia"/>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6096" w:type="dxa"/>
            <w:noWrap/>
            <w:vAlign w:val="center"/>
          </w:tcPr>
          <w:p>
            <w:pPr>
              <w:pStyle w:val="19"/>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总价报价最低者确定为中标单位。 </w:t>
            </w:r>
          </w:p>
          <w:p>
            <w:pPr>
              <w:pStyle w:val="19"/>
              <w:spacing w:line="320" w:lineRule="exact"/>
              <w:rPr>
                <w:rFonts w:asciiTheme="minorEastAsia" w:hAnsiTheme="minorEastAsia" w:cstheme="minorEastAsia"/>
                <w:strike/>
                <w:color w:val="FF0000"/>
              </w:rPr>
            </w:pPr>
            <w:bookmarkStart w:id="3" w:name="_Hlk67243980"/>
            <w:r>
              <w:rPr>
                <w:rFonts w:hint="eastAsia" w:asciiTheme="minorEastAsia" w:hAnsiTheme="minorEastAsia" w:cstheme="minorEastAsia"/>
              </w:rPr>
              <w:t>因投标人恶意低价中标，招标人有权要求投标人按中标价包干完成招标中所有内容，否则，招标人有权取消</w:t>
            </w:r>
            <w:r>
              <w:rPr>
                <w:rFonts w:hint="eastAsia" w:asciiTheme="minorEastAsia" w:hAnsiTheme="minorEastAsia" w:cstheme="minorEastAsia"/>
                <w:lang w:val="en-US" w:eastAsia="zh-CN"/>
              </w:rPr>
              <w:t>本次招标</w:t>
            </w:r>
            <w:r>
              <w:rPr>
                <w:rFonts w:hint="eastAsia" w:asciiTheme="minorEastAsia" w:hAnsiTheme="minorEastAsia" w:cstheme="minorEastAsia"/>
              </w:rPr>
              <w:t>并</w:t>
            </w:r>
            <w:r>
              <w:rPr>
                <w:rFonts w:hint="eastAsia" w:asciiTheme="minorEastAsia" w:hAnsiTheme="minorEastAsia" w:cstheme="minorEastAsia"/>
                <w:lang w:val="en-US" w:eastAsia="zh-CN"/>
              </w:rPr>
              <w:t>重新选取中标单位</w:t>
            </w:r>
            <w:r>
              <w:rPr>
                <w:rFonts w:hint="eastAsia" w:asciiTheme="minorEastAsia" w:hAnsiTheme="minorEastAsia" w:cstheme="minorEastAsia"/>
              </w:rPr>
              <w:t>。</w:t>
            </w:r>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70"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6096" w:type="dxa"/>
            <w:noWrap/>
            <w:vAlign w:val="center"/>
          </w:tcPr>
          <w:p>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tblPrEx>
          <w:tblCellMar>
            <w:top w:w="0" w:type="dxa"/>
            <w:left w:w="108" w:type="dxa"/>
            <w:bottom w:w="0" w:type="dxa"/>
            <w:right w:w="108" w:type="dxa"/>
          </w:tblCellMar>
        </w:tblPrEx>
        <w:trPr>
          <w:trHeight w:val="841"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18</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6096" w:type="dxa"/>
            <w:noWrap/>
            <w:vAlign w:val="center"/>
          </w:tcPr>
          <w:p>
            <w:pPr>
              <w:rPr>
                <w:rFonts w:asciiTheme="minorEastAsia" w:hAnsiTheme="minorEastAsia" w:cstheme="minorEastAsia"/>
                <w:szCs w:val="21"/>
              </w:rPr>
            </w:pPr>
            <w:r>
              <w:rPr>
                <w:rFonts w:hint="eastAsia" w:asciiTheme="minorEastAsia" w:hAnsiTheme="minorEastAsia" w:cstheme="minorEastAsia"/>
                <w:szCs w:val="21"/>
              </w:rPr>
              <w:t>中标候选人在招标人官网公示，公示期不少于3个工作日。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19</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6096" w:type="dxa"/>
            <w:noWrap/>
            <w:vAlign w:val="center"/>
          </w:tcPr>
          <w:p>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本项目的招标投标活动及其相关当事人接受有管辖权行政监督部门依法实施的监督。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pPr>
              <w:jc w:val="center"/>
              <w:rPr>
                <w:rFonts w:asciiTheme="minorEastAsia" w:hAnsiTheme="minorEastAsia" w:cstheme="minorEastAsia"/>
                <w:szCs w:val="21"/>
              </w:rPr>
            </w:pPr>
            <w:r>
              <w:rPr>
                <w:rFonts w:hint="eastAsia" w:asciiTheme="minorEastAsia" w:hAnsiTheme="minorEastAsia" w:cstheme="minorEastAsia"/>
                <w:szCs w:val="21"/>
              </w:rPr>
              <w:t>20</w:t>
            </w:r>
          </w:p>
        </w:tc>
        <w:tc>
          <w:tcPr>
            <w:tcW w:w="1770" w:type="dxa"/>
            <w:noWrap/>
            <w:vAlign w:val="center"/>
          </w:tcPr>
          <w:p>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6096" w:type="dxa"/>
            <w:noWrap/>
            <w:vAlign w:val="center"/>
          </w:tcPr>
          <w:p>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pPr>
        <w:widowControl/>
        <w:jc w:val="left"/>
        <w:rPr>
          <w:rFonts w:asciiTheme="minorEastAsia" w:hAnsiTheme="minorEastAsia" w:cstheme="minorEastAsia"/>
          <w:sz w:val="32"/>
          <w:szCs w:val="32"/>
        </w:rPr>
      </w:pPr>
      <w:r>
        <w:rPr>
          <w:rFonts w:hint="eastAsia" w:asciiTheme="minorEastAsia" w:hAnsiTheme="minorEastAsia" w:cstheme="minorEastAsia"/>
          <w:sz w:val="32"/>
          <w:szCs w:val="32"/>
        </w:rPr>
        <w:br w:type="page"/>
      </w:r>
    </w:p>
    <w:p>
      <w:pPr>
        <w:pStyle w:val="2"/>
        <w:ind w:firstLine="320"/>
        <w:rPr>
          <w:rFonts w:asciiTheme="minorEastAsia" w:hAnsiTheme="minorEastAsia" w:cstheme="minorEastAsia"/>
          <w:sz w:val="32"/>
          <w:szCs w:val="32"/>
        </w:rPr>
      </w:pPr>
    </w:p>
    <w:p>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pStyle w:val="9"/>
        <w:rPr>
          <w:rFonts w:hAnsi="宋体" w:cs="宋体"/>
          <w:szCs w:val="28"/>
        </w:rPr>
      </w:pPr>
    </w:p>
    <w:p>
      <w:pPr>
        <w:spacing w:line="360" w:lineRule="auto"/>
        <w:jc w:val="left"/>
        <w:rPr>
          <w:rFonts w:ascii="宋体" w:hAnsi="宋体" w:cs="宋体"/>
          <w:sz w:val="18"/>
          <w:szCs w:val="18"/>
        </w:rPr>
      </w:pPr>
    </w:p>
    <w:p>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pPr>
        <w:widowControl/>
        <w:spacing w:before="156" w:after="312" w:line="360" w:lineRule="auto"/>
        <w:jc w:val="center"/>
        <w:rPr>
          <w:rFonts w:hAnsi="宋体" w:cs="宋体"/>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pPr>
        <w:adjustRightInd w:val="0"/>
        <w:snapToGrid w:val="0"/>
        <w:spacing w:line="360" w:lineRule="auto"/>
        <w:jc w:val="center"/>
        <w:outlineLvl w:val="0"/>
        <w:rPr>
          <w:rFonts w:ascii="黑体" w:eastAsia="黑体"/>
          <w:sz w:val="32"/>
          <w:szCs w:val="32"/>
        </w:rPr>
      </w:pPr>
    </w:p>
    <w:p>
      <w:pPr>
        <w:adjustRightInd w:val="0"/>
        <w:snapToGrid w:val="0"/>
        <w:spacing w:line="360" w:lineRule="auto"/>
        <w:jc w:val="center"/>
        <w:outlineLvl w:val="0"/>
        <w:rPr>
          <w:rFonts w:ascii="黑体" w:eastAsia="黑体"/>
          <w:sz w:val="32"/>
          <w:szCs w:val="32"/>
        </w:rPr>
      </w:pPr>
    </w:p>
    <w:p>
      <w:pPr>
        <w:adjustRightInd w:val="0"/>
        <w:snapToGrid w:val="0"/>
        <w:spacing w:line="360" w:lineRule="auto"/>
        <w:jc w:val="center"/>
        <w:outlineLvl w:val="0"/>
        <w:rPr>
          <w:rFonts w:ascii="黑体" w:eastAsia="黑体"/>
          <w:sz w:val="32"/>
          <w:szCs w:val="32"/>
        </w:rPr>
      </w:pPr>
    </w:p>
    <w:p>
      <w:pPr>
        <w:adjustRightInd w:val="0"/>
        <w:snapToGrid w:val="0"/>
        <w:spacing w:line="360" w:lineRule="auto"/>
        <w:jc w:val="center"/>
        <w:outlineLvl w:val="0"/>
        <w:rPr>
          <w:rFonts w:ascii="黑体" w:eastAsia="黑体"/>
          <w:sz w:val="32"/>
          <w:szCs w:val="32"/>
        </w:rPr>
      </w:pPr>
    </w:p>
    <w:p>
      <w:pPr>
        <w:adjustRightInd w:val="0"/>
        <w:snapToGrid w:val="0"/>
        <w:spacing w:line="360" w:lineRule="auto"/>
        <w:jc w:val="center"/>
        <w:outlineLvl w:val="0"/>
        <w:rPr>
          <w:rFonts w:ascii="黑体" w:eastAsia="黑体"/>
          <w:sz w:val="32"/>
          <w:szCs w:val="32"/>
        </w:rPr>
      </w:pPr>
      <w:r>
        <w:rPr>
          <w:rFonts w:hint="eastAsia" w:ascii="黑体" w:eastAsia="黑体"/>
          <w:sz w:val="32"/>
          <w:szCs w:val="32"/>
        </w:rPr>
        <w:t>一、</w:t>
      </w:r>
      <w:r>
        <w:rPr>
          <w:rFonts w:hint="eastAsia" w:ascii="黑体" w:hAnsi="宋体" w:eastAsia="黑体"/>
          <w:sz w:val="32"/>
          <w:szCs w:val="32"/>
        </w:rPr>
        <w:t>投标书</w:t>
      </w:r>
    </w:p>
    <w:p>
      <w:pPr>
        <w:adjustRightInd w:val="0"/>
        <w:snapToGrid w:val="0"/>
        <w:spacing w:line="360" w:lineRule="auto"/>
        <w:rPr>
          <w:rFonts w:ascii="仿宋_GB2312" w:hAnsi="宋体" w:eastAsia="仿宋_GB2312"/>
          <w:sz w:val="24"/>
        </w:rPr>
      </w:pP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项目名称)的招标文件（招标编号：</w:t>
      </w:r>
      <w:r>
        <w:rPr>
          <w:rFonts w:hint="eastAsia" w:ascii="宋体" w:hAnsi="宋体" w:eastAsia="宋体" w:cs="宋体"/>
          <w:sz w:val="28"/>
          <w:szCs w:val="28"/>
          <w:u w:val="single"/>
        </w:rPr>
        <w:t xml:space="preserve">           </w:t>
      </w:r>
      <w:r>
        <w:rPr>
          <w:rFonts w:hint="eastAsia" w:ascii="宋体" w:hAnsi="宋体" w:eastAsia="宋体" w:cs="宋体"/>
          <w:sz w:val="28"/>
          <w:szCs w:val="28"/>
        </w:rPr>
        <w:t>）的全部内容，知悉参加投标的风险，我方承诺接受招标文件的全部条款且无任何异议。</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pPr>
        <w:pStyle w:val="5"/>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pPr>
        <w:pStyle w:val="5"/>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pPr>
        <w:pStyle w:val="5"/>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附件1、法定代表人身份证明</w:t>
      </w:r>
    </w:p>
    <w:p>
      <w:pPr>
        <w:spacing w:line="480" w:lineRule="auto"/>
        <w:jc w:val="left"/>
        <w:rPr>
          <w:rFonts w:ascii="宋体" w:hAnsi="宋体" w:cs="宋体"/>
        </w:rPr>
      </w:pPr>
    </w:p>
    <w:p>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p>
    <w:p>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480" w:lineRule="auto"/>
        <w:rPr>
          <w:rFonts w:ascii="宋体" w:hAnsi="宋体" w:cs="宋体"/>
          <w:kern w:val="0"/>
          <w:szCs w:val="21"/>
        </w:rPr>
      </w:pPr>
      <w:r>
        <w:rPr>
          <w:rFonts w:hint="eastAsia" w:ascii="宋体" w:hAnsi="宋体" w:cs="宋体"/>
          <w:kern w:val="0"/>
          <w:szCs w:val="21"/>
        </w:rPr>
        <w:t xml:space="preserve">                             </w:t>
      </w:r>
    </w:p>
    <w:p>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jc w:val="left"/>
        <w:rPr>
          <w:rFonts w:ascii="宋体" w:hAnsi="宋体" w:cs="宋体"/>
        </w:rPr>
      </w:pPr>
    </w:p>
    <w:p>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pPr>
        <w:spacing w:line="360" w:lineRule="auto"/>
        <w:rPr>
          <w:rFonts w:ascii="宋体" w:hAnsi="宋体" w:cs="宋体"/>
          <w:b/>
          <w:sz w:val="24"/>
        </w:rPr>
      </w:pPr>
      <w:r>
        <w:rPr>
          <w:rFonts w:hint="eastAsia" w:ascii="宋体" w:hAnsi="宋体" w:cs="宋体"/>
          <w:b/>
          <w:bCs/>
          <w:sz w:val="24"/>
        </w:rPr>
        <w:t>附件2、授权委托书</w:t>
      </w:r>
    </w:p>
    <w:p>
      <w:pPr>
        <w:spacing w:line="360" w:lineRule="auto"/>
        <w:jc w:val="center"/>
        <w:rPr>
          <w:rFonts w:ascii="宋体" w:hAnsi="宋体" w:cs="宋体"/>
          <w:b/>
          <w:sz w:val="24"/>
        </w:rPr>
      </w:pP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pPr>
        <w:widowControl/>
        <w:topLinePunct/>
        <w:spacing w:line="360" w:lineRule="auto"/>
        <w:ind w:firstLine="610"/>
        <w:rPr>
          <w:rFonts w:ascii="宋体" w:hAnsi="宋体" w:cs="宋体"/>
          <w:kern w:val="0"/>
          <w:szCs w:val="21"/>
        </w:rPr>
      </w:pPr>
    </w:p>
    <w:p>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0"/>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firstLine="2879"/>
        <w:rPr>
          <w:rFonts w:ascii="宋体" w:hAnsi="宋体" w:cs="宋体"/>
          <w:kern w:val="0"/>
          <w:szCs w:val="21"/>
        </w:rPr>
      </w:pPr>
    </w:p>
    <w:p>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pPr>
        <w:widowControl/>
        <w:topLinePunct/>
        <w:spacing w:line="360" w:lineRule="auto"/>
        <w:ind w:firstLine="2879"/>
        <w:rPr>
          <w:rFonts w:ascii="宋体" w:hAnsi="宋体" w:cs="宋体"/>
          <w:kern w:val="0"/>
          <w:sz w:val="24"/>
        </w:rPr>
      </w:pPr>
    </w:p>
    <w:p>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pPr>
        <w:spacing w:line="360" w:lineRule="auto"/>
        <w:ind w:firstLine="420" w:firstLineChars="200"/>
        <w:rPr>
          <w:rFonts w:ascii="宋体" w:hAnsi="宋体" w:cs="宋体"/>
          <w:b/>
          <w:szCs w:val="21"/>
        </w:rPr>
      </w:pPr>
    </w:p>
    <w:p>
      <w:pPr>
        <w:jc w:val="center"/>
      </w:pPr>
      <w:r>
        <w:rPr>
          <w:rFonts w:hint="eastAsia" w:asciiTheme="minorEastAsia" w:hAnsiTheme="minorEastAsia" w:cstheme="minorEastAsia"/>
          <w:color w:val="000000"/>
          <w:sz w:val="36"/>
        </w:rPr>
        <w:br w:type="page"/>
      </w:r>
      <w:r>
        <w:rPr>
          <w:rFonts w:hint="eastAsia" w:ascii="黑体" w:hAnsi="宋体" w:eastAsia="黑体"/>
          <w:sz w:val="32"/>
          <w:szCs w:val="32"/>
        </w:rPr>
        <w:t>二、报价一览表</w:t>
      </w:r>
    </w:p>
    <w:p>
      <w:pPr>
        <w:adjustRightInd w:val="0"/>
        <w:snapToGrid w:val="0"/>
        <w:rPr>
          <w:rFonts w:ascii="宋体"/>
          <w:sz w:val="24"/>
        </w:rPr>
      </w:pPr>
    </w:p>
    <w:tbl>
      <w:tblPr>
        <w:tblStyle w:val="10"/>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630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pPr>
              <w:ind w:left="-88" w:leftChars="-42"/>
              <w:jc w:val="center"/>
              <w:rPr>
                <w:rFonts w:ascii="宋体"/>
                <w:szCs w:val="21"/>
              </w:rPr>
            </w:pPr>
            <w:r>
              <w:rPr>
                <w:rFonts w:hint="eastAsia" w:ascii="宋体" w:hAnsi="宋体"/>
                <w:szCs w:val="21"/>
              </w:rPr>
              <w:t>项目名称</w:t>
            </w:r>
          </w:p>
        </w:tc>
        <w:tc>
          <w:tcPr>
            <w:tcW w:w="6308" w:type="dxa"/>
            <w:tcBorders>
              <w:top w:val="double" w:color="auto" w:sz="4" w:space="0"/>
              <w:left w:val="single" w:color="auto" w:sz="6" w:space="0"/>
              <w:bottom w:val="single" w:color="auto" w:sz="6" w:space="0"/>
              <w:right w:val="double" w:color="auto" w:sz="4" w:space="0"/>
            </w:tcBorders>
            <w:vAlign w:val="center"/>
          </w:tcPr>
          <w:p>
            <w:pPr>
              <w:widowControl/>
              <w:ind w:left="-88" w:leftChars="-42"/>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tcBorders>
              <w:top w:val="single" w:color="auto" w:sz="6" w:space="0"/>
              <w:left w:val="single" w:color="auto" w:sz="6" w:space="0"/>
              <w:right w:val="double" w:color="auto" w:sz="4" w:space="0"/>
            </w:tcBorders>
            <w:vAlign w:val="center"/>
          </w:tcPr>
          <w:p>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pPr>
              <w:pStyle w:val="20"/>
              <w:ind w:firstLine="420"/>
            </w:pPr>
          </w:p>
          <w:p>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pPr>
              <w:adjustRightInd w:val="0"/>
              <w:snapToGrid w:val="0"/>
              <w:spacing w:line="360" w:lineRule="auto"/>
              <w:jc w:val="center"/>
              <w:rPr>
                <w:rFonts w:ascii="宋体" w:hAnsi="宋体"/>
                <w:szCs w:val="21"/>
              </w:rPr>
            </w:pPr>
            <w:r>
              <w:rPr>
                <w:rFonts w:hint="eastAsia" w:ascii="宋体" w:hAns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pPr>
              <w:adjustRightInd w:val="0"/>
              <w:snapToGrid w:val="0"/>
              <w:ind w:left="-88" w:leftChars="-42"/>
              <w:jc w:val="center"/>
              <w:rPr>
                <w:rFonts w:ascii="宋体" w:hAnsi="宋体"/>
                <w:szCs w:val="21"/>
              </w:rPr>
            </w:pPr>
            <w:r>
              <w:rPr>
                <w:rFonts w:hint="eastAsia" w:ascii="宋体" w:hAnsi="宋体"/>
                <w:szCs w:val="21"/>
              </w:rPr>
              <w:t>备注</w:t>
            </w:r>
          </w:p>
        </w:tc>
        <w:tc>
          <w:tcPr>
            <w:tcW w:w="6308" w:type="dxa"/>
            <w:tcBorders>
              <w:top w:val="single" w:color="auto" w:sz="6" w:space="0"/>
              <w:left w:val="single" w:color="auto" w:sz="6" w:space="0"/>
              <w:bottom w:val="single" w:color="auto" w:sz="6" w:space="0"/>
              <w:right w:val="double" w:color="auto" w:sz="4" w:space="0"/>
            </w:tcBorders>
          </w:tcPr>
          <w:p>
            <w:pPr>
              <w:adjustRightInd w:val="0"/>
              <w:snapToGrid w:val="0"/>
              <w:ind w:left="-88" w:leftChars="-42" w:firstLine="105" w:firstLineChars="50"/>
              <w:rPr>
                <w:rFonts w:ascii="宋体"/>
                <w:b/>
                <w:szCs w:val="21"/>
              </w:rPr>
            </w:pPr>
          </w:p>
        </w:tc>
      </w:tr>
    </w:tbl>
    <w:p>
      <w:pPr>
        <w:adjustRightInd w:val="0"/>
        <w:snapToGrid w:val="0"/>
        <w:spacing w:line="360" w:lineRule="auto"/>
        <w:rPr>
          <w:rFonts w:ascii="宋体" w:hAnsi="宋体"/>
          <w:szCs w:val="21"/>
        </w:rPr>
      </w:pPr>
    </w:p>
    <w:p>
      <w:pPr>
        <w:adjustRightInd w:val="0"/>
        <w:snapToGrid w:val="0"/>
        <w:spacing w:line="360" w:lineRule="auto"/>
        <w:rPr>
          <w:rFonts w:ascii="宋体"/>
          <w:szCs w:val="21"/>
        </w:rPr>
      </w:pPr>
      <w:r>
        <w:rPr>
          <w:rFonts w:hint="eastAsia" w:ascii="宋体" w:hAnsi="宋体"/>
          <w:szCs w:val="21"/>
        </w:rPr>
        <w:t>投标人（盖单位章）：</w:t>
      </w:r>
    </w:p>
    <w:p>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pPr>
        <w:adjustRightInd w:val="0"/>
        <w:snapToGrid w:val="0"/>
        <w:spacing w:line="360" w:lineRule="auto"/>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日</w:t>
      </w:r>
    </w:p>
    <w:p>
      <w:pPr>
        <w:pStyle w:val="3"/>
        <w:adjustRightInd w:val="0"/>
        <w:snapToGrid w:val="0"/>
        <w:spacing w:line="360" w:lineRule="auto"/>
        <w:rPr>
          <w:rFonts w:asciiTheme="minorEastAsia" w:hAnsiTheme="minorEastAsia" w:cstheme="minorEastAsia"/>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46C4EC"/>
    <w:multiLevelType w:val="singleLevel"/>
    <w:tmpl w:val="0C46C4EC"/>
    <w:lvl w:ilvl="0" w:tentative="0">
      <w:start w:val="1"/>
      <w:numFmt w:val="chineseCounting"/>
      <w:suff w:val="nothing"/>
      <w:lvlText w:val="%1、"/>
      <w:lvlJc w:val="left"/>
      <w:rPr>
        <w:rFonts w:hint="eastAsia"/>
        <w:lang w:val="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k3NzIyMzQyYzAwNTU4ZTI0NDM1N2JlYTI5YjFjM2YifQ=="/>
  </w:docVars>
  <w:rsids>
    <w:rsidRoot w:val="003F4BCE"/>
    <w:rsid w:val="000E4867"/>
    <w:rsid w:val="001E1003"/>
    <w:rsid w:val="002F36FE"/>
    <w:rsid w:val="003726E5"/>
    <w:rsid w:val="003F4BCE"/>
    <w:rsid w:val="0041304F"/>
    <w:rsid w:val="004A2BAF"/>
    <w:rsid w:val="004B0C51"/>
    <w:rsid w:val="005652AC"/>
    <w:rsid w:val="008C2083"/>
    <w:rsid w:val="008F0719"/>
    <w:rsid w:val="009B1F37"/>
    <w:rsid w:val="00C2233F"/>
    <w:rsid w:val="00C965A4"/>
    <w:rsid w:val="00CF3427"/>
    <w:rsid w:val="00D80C8C"/>
    <w:rsid w:val="00E83417"/>
    <w:rsid w:val="00E86B0B"/>
    <w:rsid w:val="00E97956"/>
    <w:rsid w:val="05C91714"/>
    <w:rsid w:val="08B066B4"/>
    <w:rsid w:val="0AE3324D"/>
    <w:rsid w:val="16CE3691"/>
    <w:rsid w:val="199376A7"/>
    <w:rsid w:val="19DD7943"/>
    <w:rsid w:val="1CD8507F"/>
    <w:rsid w:val="237971E9"/>
    <w:rsid w:val="278F3C52"/>
    <w:rsid w:val="2D5232F0"/>
    <w:rsid w:val="33264ABF"/>
    <w:rsid w:val="39BA7139"/>
    <w:rsid w:val="3D135565"/>
    <w:rsid w:val="447A7A7D"/>
    <w:rsid w:val="4CC6640C"/>
    <w:rsid w:val="62DF2B76"/>
    <w:rsid w:val="64BB0190"/>
    <w:rsid w:val="703D0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15"/>
    <w:qFormat/>
    <w:uiPriority w:val="0"/>
    <w:pPr>
      <w:spacing w:after="0" w:line="360" w:lineRule="auto"/>
      <w:ind w:firstLine="309" w:firstLineChars="100"/>
      <w:outlineLvl w:val="0"/>
    </w:pPr>
    <w:rPr>
      <w:bCs/>
      <w:color w:val="000000"/>
      <w:kern w:val="28"/>
      <w:szCs w:val="21"/>
    </w:rPr>
  </w:style>
  <w:style w:type="paragraph" w:styleId="3">
    <w:name w:val="Body Text"/>
    <w:basedOn w:val="1"/>
    <w:link w:val="14"/>
    <w:unhideWhenUsed/>
    <w:qFormat/>
    <w:uiPriority w:val="0"/>
    <w:pPr>
      <w:spacing w:after="120"/>
    </w:pPr>
  </w:style>
  <w:style w:type="paragraph" w:styleId="4">
    <w:name w:val="Body Text Indent"/>
    <w:basedOn w:val="1"/>
    <w:link w:val="16"/>
    <w:autoRedefine/>
    <w:semiHidden/>
    <w:unhideWhenUsed/>
    <w:qFormat/>
    <w:uiPriority w:val="99"/>
    <w:pPr>
      <w:spacing w:after="120"/>
      <w:ind w:left="420" w:leftChars="200"/>
    </w:pPr>
  </w:style>
  <w:style w:type="paragraph" w:styleId="5">
    <w:name w:val="Plain Text"/>
    <w:basedOn w:val="1"/>
    <w:link w:val="18"/>
    <w:autoRedefine/>
    <w:qFormat/>
    <w:uiPriority w:val="0"/>
    <w:rPr>
      <w:rFonts w:ascii="宋体" w:hAnsi="Courier New" w:eastAsia="仿宋_GB2312" w:cs="Times New Roman"/>
      <w:sz w:val="32"/>
      <w:szCs w:val="20"/>
    </w:rPr>
  </w:style>
  <w:style w:type="paragraph" w:styleId="6">
    <w:name w:val="Balloon Text"/>
    <w:basedOn w:val="1"/>
    <w:link w:val="21"/>
    <w:semiHidden/>
    <w:unhideWhenUsed/>
    <w:qFormat/>
    <w:uiPriority w:val="99"/>
    <w:rPr>
      <w:sz w:val="18"/>
      <w:szCs w:val="18"/>
    </w:rPr>
  </w:style>
  <w:style w:type="paragraph" w:styleId="7">
    <w:name w:val="footer"/>
    <w:basedOn w:val="1"/>
    <w:link w:val="13"/>
    <w:autoRedefine/>
    <w:unhideWhenUsed/>
    <w:qFormat/>
    <w:uiPriority w:val="99"/>
    <w:pPr>
      <w:tabs>
        <w:tab w:val="center" w:pos="4153"/>
        <w:tab w:val="right" w:pos="8306"/>
      </w:tabs>
      <w:snapToGrid w:val="0"/>
      <w:jc w:val="left"/>
    </w:pPr>
    <w:rPr>
      <w:sz w:val="18"/>
      <w:szCs w:val="18"/>
    </w:rPr>
  </w:style>
  <w:style w:type="paragraph" w:styleId="8">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Body Text First Indent 2"/>
    <w:basedOn w:val="4"/>
    <w:link w:val="17"/>
    <w:semiHidden/>
    <w:unhideWhenUsed/>
    <w:qFormat/>
    <w:uiPriority w:val="99"/>
    <w:pPr>
      <w:ind w:firstLine="420" w:firstLineChars="200"/>
    </w:pPr>
  </w:style>
  <w:style w:type="character" w:customStyle="1" w:styleId="12">
    <w:name w:val="页眉 字符"/>
    <w:basedOn w:val="11"/>
    <w:link w:val="8"/>
    <w:qFormat/>
    <w:uiPriority w:val="99"/>
    <w:rPr>
      <w:sz w:val="18"/>
      <w:szCs w:val="18"/>
    </w:rPr>
  </w:style>
  <w:style w:type="character" w:customStyle="1" w:styleId="13">
    <w:name w:val="页脚 字符"/>
    <w:basedOn w:val="11"/>
    <w:link w:val="7"/>
    <w:autoRedefine/>
    <w:qFormat/>
    <w:uiPriority w:val="99"/>
    <w:rPr>
      <w:sz w:val="18"/>
      <w:szCs w:val="18"/>
    </w:rPr>
  </w:style>
  <w:style w:type="character" w:customStyle="1" w:styleId="14">
    <w:name w:val="正文文本 字符"/>
    <w:basedOn w:val="11"/>
    <w:link w:val="3"/>
    <w:autoRedefine/>
    <w:semiHidden/>
    <w:qFormat/>
    <w:uiPriority w:val="99"/>
  </w:style>
  <w:style w:type="character" w:customStyle="1" w:styleId="15">
    <w:name w:val="正文首行缩进 字符"/>
    <w:basedOn w:val="14"/>
    <w:link w:val="2"/>
    <w:qFormat/>
    <w:uiPriority w:val="0"/>
    <w:rPr>
      <w:bCs/>
      <w:color w:val="000000"/>
      <w:kern w:val="28"/>
      <w:szCs w:val="21"/>
    </w:rPr>
  </w:style>
  <w:style w:type="character" w:customStyle="1" w:styleId="16">
    <w:name w:val="正文文本缩进 字符"/>
    <w:basedOn w:val="11"/>
    <w:link w:val="4"/>
    <w:autoRedefine/>
    <w:semiHidden/>
    <w:qFormat/>
    <w:uiPriority w:val="99"/>
  </w:style>
  <w:style w:type="character" w:customStyle="1" w:styleId="17">
    <w:name w:val="正文首行缩进 2 字符"/>
    <w:basedOn w:val="16"/>
    <w:link w:val="9"/>
    <w:semiHidden/>
    <w:qFormat/>
    <w:uiPriority w:val="99"/>
  </w:style>
  <w:style w:type="character" w:customStyle="1" w:styleId="18">
    <w:name w:val="纯文本 字符"/>
    <w:basedOn w:val="11"/>
    <w:link w:val="5"/>
    <w:qFormat/>
    <w:uiPriority w:val="0"/>
    <w:rPr>
      <w:rFonts w:ascii="宋体" w:hAnsi="Courier New" w:eastAsia="仿宋_GB2312" w:cs="Times New Roman"/>
      <w:sz w:val="32"/>
      <w:szCs w:val="20"/>
    </w:rPr>
  </w:style>
  <w:style w:type="paragraph" w:styleId="19">
    <w:name w:val="List Paragraph"/>
    <w:basedOn w:val="1"/>
    <w:autoRedefine/>
    <w:qFormat/>
    <w:uiPriority w:val="0"/>
    <w:pPr>
      <w:ind w:firstLine="420" w:firstLineChars="200"/>
    </w:pPr>
    <w:rPr>
      <w:rFonts w:ascii="Calibri" w:hAnsi="Calibri"/>
    </w:rPr>
  </w:style>
  <w:style w:type="paragraph" w:customStyle="1" w:styleId="20">
    <w:name w:val="首行缩进"/>
    <w:basedOn w:val="1"/>
    <w:qFormat/>
    <w:uiPriority w:val="0"/>
    <w:pPr>
      <w:ind w:firstLine="480" w:firstLineChars="200"/>
    </w:pPr>
    <w:rPr>
      <w:rFonts w:ascii="Times New Roman" w:hAnsi="Times New Roman"/>
      <w:kern w:val="0"/>
      <w:szCs w:val="20"/>
      <w:lang w:val="zh-CN"/>
    </w:rPr>
  </w:style>
  <w:style w:type="character" w:customStyle="1" w:styleId="21">
    <w:name w:val="批注框文本 字符"/>
    <w:basedOn w:val="11"/>
    <w:link w:val="6"/>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2210</Words>
  <Characters>2310</Characters>
  <Lines>23</Lines>
  <Paragraphs>6</Paragraphs>
  <TotalTime>2</TotalTime>
  <ScaleCrop>false</ScaleCrop>
  <LinksUpToDate>false</LinksUpToDate>
  <CharactersWithSpaces>3039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2022-09-28T07:58:00Z</dcterms:created>
  <dc:creator>张明</dc:creator>
  <cp:lastModifiedBy>刘嘉炜</cp:lastModifiedBy>
  <cp:lastPrinted>2022-11-30T06:30:00Z</cp:lastPrinted>
  <dcterms:modified xsi:type="dcterms:W3CDTF">2024-01-22T05:52:46Z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FF01181A9F844F60AFEEB3B4011E3B04</vt:lpwstr>
  </property>
</Properties>
</file>