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p>
    <w:p>
      <w:pPr>
        <w:pStyle w:val="2"/>
        <w:ind w:firstLine="210"/>
        <w:rPr>
          <w:rFonts w:hint="default" w:asciiTheme="minorEastAsia" w:hAnsiTheme="minorEastAsia" w:eastAsiaTheme="minorEastAsia" w:cstheme="minorEastAsia"/>
          <w:lang w:val="en-US" w:eastAsia="zh-CN"/>
        </w:rPr>
      </w:pPr>
      <w:r>
        <w:rPr>
          <w:rFonts w:hint="eastAsia"/>
          <w:sz w:val="44"/>
          <w:szCs w:val="36"/>
        </w:rPr>
        <w:t>观盛·星光里商业街美食节</w:t>
      </w:r>
      <w:r>
        <w:rPr>
          <w:rFonts w:hint="eastAsia"/>
          <w:sz w:val="44"/>
          <w:szCs w:val="36"/>
          <w:lang w:val="en-US" w:eastAsia="zh-CN"/>
        </w:rPr>
        <w:t>及年货博览会</w:t>
      </w: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招标编号：YYHS 202</w:t>
      </w:r>
      <w:r>
        <w:rPr>
          <w:rFonts w:hint="eastAsia" w:asciiTheme="minorEastAsia" w:hAnsiTheme="minorEastAsia" w:cstheme="minorEastAsia"/>
          <w:b/>
          <w:bCs/>
          <w:sz w:val="36"/>
          <w:szCs w:val="36"/>
          <w:lang w:val="en-US" w:eastAsia="zh-CN"/>
        </w:rPr>
        <w:t>4</w:t>
      </w:r>
      <w:r>
        <w:rPr>
          <w:rFonts w:hint="eastAsia" w:asciiTheme="minorEastAsia" w:hAnsiTheme="minorEastAsia" w:cstheme="minorEastAsia"/>
          <w:b/>
          <w:bCs/>
          <w:sz w:val="36"/>
          <w:szCs w:val="36"/>
        </w:rPr>
        <w:t>-</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招标人：岳阳鸿盛建设有限公司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一</w:t>
      </w:r>
      <w:r>
        <w:rPr>
          <w:rFonts w:hint="eastAsia" w:asciiTheme="minorEastAsia" w:hAnsiTheme="minorEastAsia" w:cstheme="minorEastAsia"/>
          <w:b/>
          <w:kern w:val="0"/>
          <w:sz w:val="32"/>
          <w:szCs w:val="32"/>
        </w:rPr>
        <w:t>月</w:t>
      </w:r>
    </w:p>
    <w:p>
      <w:pPr>
        <w:jc w:val="center"/>
        <w:rPr>
          <w:rFonts w:asciiTheme="minorEastAsia" w:hAnsiTheme="minorEastAsia" w:cstheme="minorEastAsia"/>
          <w:sz w:val="36"/>
          <w:szCs w:val="32"/>
        </w:rPr>
      </w:pPr>
    </w:p>
    <w:p>
      <w:pPr>
        <w:pStyle w:val="2"/>
        <w:rPr>
          <w:rFonts w:asciiTheme="minorEastAsia" w:hAnsiTheme="minorEastAsia" w:cstheme="minorEastAsia"/>
          <w:sz w:val="36"/>
          <w:szCs w:val="32"/>
        </w:rPr>
      </w:pPr>
    </w:p>
    <w:p>
      <w:pPr>
        <w:pStyle w:val="2"/>
        <w:rPr>
          <w:rFonts w:asciiTheme="minorEastAsia" w:hAnsiTheme="minorEastAsia" w:cstheme="minorEastAsia"/>
          <w:sz w:val="36"/>
          <w:szCs w:val="32"/>
        </w:rPr>
      </w:pPr>
    </w:p>
    <w:p>
      <w:pPr>
        <w:pStyle w:val="2"/>
        <w:rPr>
          <w:rFonts w:asciiTheme="minorEastAsia" w:hAnsiTheme="minorEastAsia" w:cstheme="minorEastAsia"/>
          <w:sz w:val="36"/>
          <w:szCs w:val="32"/>
        </w:rPr>
      </w:pPr>
    </w:p>
    <w:p>
      <w:pPr>
        <w:pStyle w:val="2"/>
        <w:rPr>
          <w:rFonts w:asciiTheme="minorEastAsia" w:hAnsiTheme="minorEastAsia" w:cstheme="minorEastAsia"/>
          <w:sz w:val="36"/>
          <w:szCs w:val="32"/>
        </w:rPr>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r>
        <w:rPr>
          <w:rFonts w:hint="eastAsia"/>
        </w:rPr>
        <w:t xml:space="preserve"> </w:t>
      </w:r>
      <w:r>
        <w:rPr>
          <w:rFonts w:hint="eastAsia" w:asciiTheme="minorEastAsia" w:hAnsiTheme="minorEastAsia" w:cstheme="minorEastAsia"/>
          <w:bCs w:val="0"/>
          <w:color w:val="auto"/>
          <w:kern w:val="2"/>
          <w:sz w:val="28"/>
          <w:szCs w:val="28"/>
        </w:rPr>
        <w:t xml:space="preserve">   </w:t>
      </w: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left="2519" w:leftChars="266" w:hanging="1960" w:hangingChars="700"/>
        <w:jc w:val="left"/>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rPr>
        <w:t>1、项目名称：观盛·星光里商业街美食节</w:t>
      </w:r>
      <w:r>
        <w:rPr>
          <w:rFonts w:hint="eastAsia" w:asciiTheme="minorEastAsia" w:hAnsiTheme="minorEastAsia" w:cstheme="minorEastAsia"/>
          <w:sz w:val="28"/>
          <w:szCs w:val="28"/>
          <w:lang w:val="en-US" w:eastAsia="zh-CN"/>
        </w:rPr>
        <w:t>及年货博览会</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w:t>
      </w:r>
      <w:r>
        <w:rPr>
          <w:rFonts w:hint="eastAsia" w:asciiTheme="minorEastAsia" w:hAnsiTheme="minorEastAsia" w:cstheme="minorEastAsia"/>
          <w:sz w:val="28"/>
          <w:szCs w:val="28"/>
          <w:lang w:val="en-US" w:eastAsia="zh-CN"/>
        </w:rPr>
        <w:t>活动</w:t>
      </w:r>
      <w:r>
        <w:rPr>
          <w:rFonts w:hint="eastAsia" w:asciiTheme="minorEastAsia" w:hAnsiTheme="minorEastAsia" w:cstheme="minorEastAsia"/>
          <w:sz w:val="28"/>
          <w:szCs w:val="28"/>
        </w:rPr>
        <w:t>地点：湖南城陵矶综合保税区</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活动开始时间2024年1月18日，为期七天，负责展位内布置，线上、线下宣传，摊位的招商和召集、管理展商产生的相关费用，工作事项详见清单。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u w:val="single"/>
          <w:lang w:val="en-US" w:eastAsia="zh-CN"/>
        </w:rPr>
        <w:t>85120元，</w:t>
      </w:r>
      <w:r>
        <w:rPr>
          <w:rFonts w:hint="eastAsia" w:asciiTheme="minorEastAsia" w:hAnsiTheme="minorEastAsia" w:cstheme="minorEastAsia"/>
          <w:sz w:val="28"/>
          <w:szCs w:val="28"/>
          <w:u w:val="single"/>
        </w:rPr>
        <w:t>预算清单中的预算控制价作为本项目上限控制价。</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、质量要求：</w:t>
      </w:r>
      <w:r>
        <w:rPr>
          <w:rFonts w:hint="eastAsia" w:asciiTheme="minorEastAsia" w:hAnsiTheme="minorEastAsia" w:cstheme="minorEastAsia"/>
          <w:sz w:val="28"/>
          <w:szCs w:val="28"/>
          <w:u w:val="single"/>
        </w:rPr>
        <w:t>符合发包人要求</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w:t>
      </w:r>
      <w:r>
        <w:rPr>
          <w:rFonts w:hint="eastAsia" w:asciiTheme="minorEastAsia" w:hAnsiTheme="minorEastAsia" w:cstheme="minorEastAsia"/>
          <w:sz w:val="28"/>
          <w:szCs w:val="28"/>
          <w:lang w:val="en-US" w:eastAsia="zh-CN"/>
        </w:rPr>
        <w:t>营业范围包含活动承揽等，</w:t>
      </w:r>
      <w:r>
        <w:rPr>
          <w:rFonts w:hint="eastAsia" w:asciiTheme="minorEastAsia" w:hAnsiTheme="minorEastAsia" w:cstheme="minorEastAsia"/>
          <w:sz w:val="28"/>
          <w:szCs w:val="28"/>
        </w:rPr>
        <w:t>营业执照处于有效期；</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开标时现场核验，提供授权委托书、营业执照（以上复印件加盖公章）。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本次招标采用“最低价法”评标。参与本项目的投标者即视为接受本项目上限控制价规定，在该控制价基础上投标单位报价最低者确定为中标单位。</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投标保证</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1、投标保证金的金额（人民币）： 肆佰元整（￥400.00元）；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2、投标保证金到账截止时间：开标前交付；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3、缴纳方式：现金。投标人单位以现金方式一次性按时、足额缴纳。未中标单位投标保证金在确定中标人后3天内退还，不计利息。</w:t>
      </w:r>
    </w:p>
    <w:p>
      <w:pPr>
        <w:pStyle w:val="2"/>
        <w:ind w:firstLine="210"/>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0</w:t>
      </w:r>
      <w:r>
        <w:rPr>
          <w:rFonts w:hint="eastAsia" w:asciiTheme="minorEastAsia" w:hAnsiTheme="minorEastAsia" w:cstheme="minorEastAsia"/>
          <w:sz w:val="28"/>
          <w:szCs w:val="28"/>
          <w:u w:val="single"/>
          <w:lang w:val="en-US" w:eastAsia="zh-CN"/>
        </w:rPr>
        <w:t>1</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11</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0</w:t>
      </w:r>
      <w:r>
        <w:rPr>
          <w:rFonts w:hint="eastAsia" w:asciiTheme="minorEastAsia" w:hAnsiTheme="minorEastAsia" w:cstheme="minorEastAsia"/>
          <w:sz w:val="28"/>
          <w:szCs w:val="28"/>
          <w:u w:val="single"/>
          <w:lang w:val="en-US" w:eastAsia="zh-CN"/>
        </w:rPr>
        <w:t>1</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14</w:t>
      </w:r>
      <w:r>
        <w:rPr>
          <w:rFonts w:hint="eastAsia" w:asciiTheme="minorEastAsia" w:hAnsiTheme="minorEastAsia" w:cstheme="minorEastAsia"/>
          <w:sz w:val="28"/>
          <w:szCs w:val="28"/>
        </w:rPr>
        <w:t>日登录岳阳观盛投资发展有限公司官网（http://www.yyguansheng.com/）下载招标文件和财评预算清单。</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投标文件须包含授权委托书及身份证明、营业执照、投标清单</w:t>
      </w:r>
      <w:bookmarkStart w:id="5" w:name="_GoBack"/>
      <w:bookmarkEnd w:id="5"/>
      <w:r>
        <w:rPr>
          <w:rFonts w:hint="eastAsia" w:asciiTheme="minorEastAsia" w:hAnsiTheme="minorEastAsia" w:cstheme="minorEastAsia"/>
          <w:sz w:val="28"/>
          <w:szCs w:val="28"/>
        </w:rPr>
        <w:t>（以上复印件须加盖公章），投标文件递交的截止时间及开标时间为</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1</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15</w:t>
      </w:r>
      <w:r>
        <w:rPr>
          <w:rFonts w:hint="eastAsia" w:asciiTheme="minorEastAsia" w:hAnsiTheme="minorEastAsia" w:cstheme="minorEastAsia"/>
          <w:sz w:val="28"/>
          <w:szCs w:val="28"/>
        </w:rPr>
        <w:t>日上午9时30分，开标地点为岳阳市云溪区松树垄路维也纳酒店对面岳阳观盛投资发展有限公司402会议室。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本次招标比选过程由我公司工程管理部门进行监督。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sz w:val="28"/>
          <w:szCs w:val="28"/>
          <w:lang w:val="en-US" w:eastAsia="zh-CN"/>
        </w:rPr>
        <w:t>处理</w:t>
      </w:r>
      <w:r>
        <w:rPr>
          <w:rFonts w:hint="eastAsia" w:asciiTheme="minorEastAsia" w:hAnsiTheme="minorEastAsia" w:cstheme="minorEastAsia"/>
          <w:sz w:val="28"/>
          <w:szCs w:val="28"/>
        </w:rPr>
        <w:t>。</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岳阳鸿盛建设有限公司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湖南城陵矶临港新区通关服务中心4楼</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龙佑方</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15907302868</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420958733</w:t>
      </w:r>
      <w:r>
        <w:rPr>
          <w:rFonts w:hint="eastAsia" w:asciiTheme="minorEastAsia" w:hAnsiTheme="minorEastAsia" w:cstheme="minorEastAsia"/>
          <w:sz w:val="28"/>
          <w:szCs w:val="28"/>
          <w:u w:val="single"/>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hint="eastAsia" w:asciiTheme="minorEastAsia" w:hAnsiTheme="minorEastAsia" w:eastAsiaTheme="minorEastAsia" w:cstheme="minorEastAsia"/>
          <w:sz w:val="32"/>
          <w:szCs w:val="32"/>
          <w:lang w:val="en-US" w:eastAsia="zh-CN"/>
        </w:rPr>
      </w:pPr>
    </w:p>
    <w:p>
      <w:pPr>
        <w:pStyle w:val="3"/>
        <w:rPr>
          <w:rFonts w:asciiTheme="minorEastAsia" w:hAnsiTheme="minorEastAsia" w:cstheme="minorEastAsia"/>
          <w:sz w:val="32"/>
          <w:szCs w:val="32"/>
        </w:rPr>
      </w:pPr>
    </w:p>
    <w:p>
      <w:pPr>
        <w:widowControl/>
        <w:jc w:val="center"/>
        <w:outlineLvl w:val="0"/>
        <w:rPr>
          <w:rFonts w:asciiTheme="minorEastAsia" w:hAnsiTheme="minorEastAsia" w:cstheme="minorEastAsia"/>
          <w:b/>
          <w:sz w:val="36"/>
          <w:szCs w:val="36"/>
        </w:rPr>
      </w:pPr>
      <w:bookmarkStart w:id="0" w:name="_Toc1533"/>
      <w:bookmarkStart w:id="1" w:name="_Toc5650"/>
      <w:bookmarkStart w:id="2" w:name="_Toc6728"/>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4"/>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bookmarkStart w:id="3" w:name="_Hlk111795891"/>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14</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rPr>
              <w:t xml:space="preserve">    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15</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日上午9时30分。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同投标截止时间，开标及投标文件递交地点（岳阳市云溪区松树垄路维也纳酒店对面岳阳观盛投资发展有限公司402会议室。</w:t>
            </w:r>
          </w:p>
          <w:p>
            <w:pPr>
              <w:rPr>
                <w:rFonts w:asciiTheme="minorEastAsia" w:hAnsiTheme="minorEastAsia" w:cstheme="minorEastAsia"/>
                <w:szCs w:val="21"/>
              </w:rPr>
            </w:pP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评标委员会由招标人工程管理部门组成，并接受有效投标人现场监督，当场唱标登记。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23"/>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投标人根据图纸及财评预算清单进行报价，编制投标预算清单，报价文件中总价和各子项单价均不得超过财评清单金额，工程量以财评预算清单为准，投标人不得擅自更改；总价报价最低者确定为中标单位。 </w:t>
            </w:r>
          </w:p>
          <w:p>
            <w:pPr>
              <w:pStyle w:val="23"/>
              <w:spacing w:line="320" w:lineRule="exact"/>
              <w:rPr>
                <w:rFonts w:asciiTheme="minorEastAsia" w:hAnsiTheme="minorEastAsia" w:cstheme="minorEastAsia"/>
              </w:rPr>
            </w:pPr>
            <w:bookmarkStart w:id="4" w:name="_Hlk67243980"/>
            <w:r>
              <w:rPr>
                <w:rFonts w:hint="eastAsia" w:asciiTheme="minorEastAsia" w:hAnsiTheme="minorEastAsia" w:cstheme="minorEastAsia"/>
              </w:rPr>
              <w:t>因投标人采取改动、缩减招标清单工程量等手段，恶意低价中标，招标人有权要求投标人按中标价包干完成招标清单中所有工程量，否则，招标人有权取消合同并另行选定中标单位</w:t>
            </w:r>
            <w:r>
              <w:rPr>
                <w:rFonts w:hint="eastAsia" w:asciiTheme="minorEastAsia" w:hAnsiTheme="minorEastAsia" w:cstheme="minorEastAsia"/>
                <w:lang w:eastAsia="zh-CN"/>
              </w:rPr>
              <w:t>，</w:t>
            </w:r>
            <w:r>
              <w:rPr>
                <w:rFonts w:hint="eastAsia" w:asciiTheme="minorEastAsia" w:hAnsiTheme="minorEastAsia" w:cstheme="minorEastAsia"/>
                <w:lang w:val="en-US" w:eastAsia="zh-CN"/>
              </w:rPr>
              <w:t>且不予返还投标保证金</w:t>
            </w:r>
            <w:r>
              <w:rPr>
                <w:rFonts w:hint="eastAsia" w:asciiTheme="minorEastAsia" w:hAnsiTheme="minorEastAsia" w:cstheme="minorEastAsia"/>
              </w:rPr>
              <w:t>。</w:t>
            </w:r>
          </w:p>
          <w:p>
            <w:pPr>
              <w:pStyle w:val="23"/>
              <w:spacing w:line="320" w:lineRule="exact"/>
              <w:rPr>
                <w:rFonts w:asciiTheme="minorEastAsia" w:hAnsiTheme="minorEastAsia" w:cstheme="minorEastAsia"/>
                <w:strike/>
                <w:color w:val="FF0000"/>
              </w:rPr>
            </w:pPr>
            <w:r>
              <w:rPr>
                <w:rFonts w:hint="eastAsia" w:asciiTheme="minorEastAsia" w:hAnsiTheme="minorEastAsia" w:cstheme="minorEastAsia"/>
              </w:rPr>
              <w:t>清单外新增工程量经招标人核定后现场签证计量或进行设计变更，</w:t>
            </w:r>
            <w:bookmarkEnd w:id="4"/>
            <w:r>
              <w:rPr>
                <w:rFonts w:hint="eastAsia" w:asciiTheme="minorEastAsia" w:hAnsiTheme="minorEastAsia" w:cstheme="minorEastAsi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中标候选人在岳阳观盛投资发展有限公司官网公示，公示期不少于3个工作日。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bookmarkEnd w:id="3"/>
    </w:tbl>
    <w:p>
      <w:pPr>
        <w:widowControl/>
        <w:jc w:val="left"/>
        <w:rPr>
          <w:rFonts w:asciiTheme="minorEastAsia" w:hAnsiTheme="minorEastAsia" w:cstheme="minorEastAsia"/>
          <w:color w:val="000000"/>
          <w:sz w:val="36"/>
        </w:rPr>
      </w:pPr>
      <w:r>
        <w:rPr>
          <w:rFonts w:hint="eastAsia" w:asciiTheme="minorEastAsia" w:hAnsiTheme="minorEastAsia" w:cstheme="minorEastAsia"/>
          <w:sz w:val="32"/>
          <w:szCs w:val="32"/>
        </w:rPr>
        <w:br w:type="page"/>
      </w: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13"/>
        <w:rPr>
          <w:rFonts w:hAnsi="宋体" w:cs="宋体"/>
          <w:szCs w:val="28"/>
        </w:rPr>
      </w:pPr>
    </w:p>
    <w:p>
      <w:pPr>
        <w:pStyle w:val="13"/>
        <w:rPr>
          <w:rFonts w:hAnsi="宋体" w:cs="宋体"/>
          <w:szCs w:val="28"/>
        </w:rPr>
      </w:pPr>
    </w:p>
    <w:p>
      <w:pPr>
        <w:pStyle w:val="13"/>
        <w:rPr>
          <w:rFonts w:hAnsi="宋体" w:cs="宋体"/>
          <w:szCs w:val="28"/>
        </w:rPr>
      </w:pPr>
    </w:p>
    <w:p>
      <w:pPr>
        <w:pStyle w:val="13"/>
        <w:rPr>
          <w:rFonts w:hAnsi="宋体" w:cs="宋体"/>
          <w:szCs w:val="28"/>
        </w:rPr>
      </w:pPr>
    </w:p>
    <w:p>
      <w:pPr>
        <w:pStyle w:val="13"/>
        <w:rPr>
          <w:rFonts w:hAnsi="宋体" w:cs="宋体"/>
          <w:szCs w:val="28"/>
        </w:rPr>
      </w:pPr>
    </w:p>
    <w:p>
      <w:pPr>
        <w:pStyle w:val="13"/>
        <w:rPr>
          <w:rFonts w:hAnsi="宋体" w:cs="宋体"/>
          <w:szCs w:val="28"/>
        </w:rPr>
      </w:pPr>
    </w:p>
    <w:p>
      <w:pPr>
        <w:pStyle w:val="13"/>
        <w:rPr>
          <w:rFonts w:hAnsi="宋体" w:cs="宋体"/>
          <w:szCs w:val="28"/>
        </w:rPr>
      </w:pPr>
    </w:p>
    <w:p>
      <w:pPr>
        <w:pStyle w:val="13"/>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13"/>
        <w:rPr>
          <w:rFonts w:hAnsi="宋体" w:cs="宋体"/>
          <w:szCs w:val="28"/>
        </w:rPr>
      </w:pPr>
    </w:p>
    <w:p>
      <w:pPr>
        <w:pStyle w:val="13"/>
        <w:ind w:firstLine="0" w:firstLineChars="0"/>
        <w:rPr>
          <w:rFonts w:hAnsi="宋体" w:cs="宋体"/>
          <w:szCs w:val="28"/>
        </w:rPr>
      </w:pPr>
    </w:p>
    <w:p>
      <w:pPr>
        <w:pStyle w:val="13"/>
        <w:ind w:firstLine="0" w:firstLineChars="0"/>
        <w:rPr>
          <w:rFonts w:hAnsi="宋体" w:cs="宋体"/>
          <w:szCs w:val="28"/>
        </w:rPr>
      </w:pPr>
    </w:p>
    <w:p>
      <w:pPr>
        <w:pStyle w:val="13"/>
        <w:ind w:firstLine="0" w:firstLineChars="0"/>
        <w:rPr>
          <w:rFonts w:hAnsi="宋体" w:cs="宋体"/>
          <w:szCs w:val="28"/>
        </w:rPr>
      </w:pPr>
    </w:p>
    <w:p>
      <w:pPr>
        <w:pStyle w:val="13"/>
        <w:ind w:firstLine="0" w:firstLineChars="0"/>
        <w:rPr>
          <w:rFonts w:hAnsi="宋体" w:cs="宋体"/>
          <w:szCs w:val="28"/>
        </w:rPr>
      </w:pPr>
    </w:p>
    <w:p>
      <w:pPr>
        <w:pStyle w:val="13"/>
        <w:ind w:firstLine="0" w:firstLineChars="0"/>
        <w:rPr>
          <w:rFonts w:hAnsi="宋体" w:cs="宋体"/>
          <w:szCs w:val="28"/>
        </w:rPr>
      </w:pPr>
    </w:p>
    <w:p>
      <w:pPr>
        <w:pStyle w:val="13"/>
        <w:rPr>
          <w:rFonts w:hAnsi="宋体" w:cs="宋体"/>
          <w:szCs w:val="28"/>
        </w:rPr>
      </w:pPr>
    </w:p>
    <w:p>
      <w:pPr>
        <w:pStyle w:val="13"/>
        <w:rPr>
          <w:rFonts w:hAnsi="宋体" w:cs="宋体"/>
          <w:szCs w:val="28"/>
        </w:rPr>
      </w:pPr>
    </w:p>
    <w:p>
      <w:pPr>
        <w:pStyle w:val="13"/>
        <w:rPr>
          <w:rFonts w:hAnsi="宋体" w:cs="宋体"/>
          <w:szCs w:val="28"/>
        </w:rPr>
      </w:pPr>
    </w:p>
    <w:p>
      <w:pPr>
        <w:pStyle w:val="13"/>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项目名称)招标文件的全部内容，知悉参加投标的风险，我方承诺接受招标文件的全部条款且无任何异议。</w:t>
      </w:r>
    </w:p>
    <w:p>
      <w:pPr>
        <w:pStyle w:val="9"/>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9"/>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9"/>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9"/>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9"/>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9"/>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4"/>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2"/>
        <w:ind w:firstLine="210"/>
      </w:pPr>
    </w:p>
    <w:p>
      <w:pPr>
        <w:jc w:val="center"/>
        <w:rPr>
          <w:rFonts w:asciiTheme="minorEastAsia" w:hAnsiTheme="minorEastAsia" w:cstheme="minorEastAsia"/>
          <w:color w:val="000000"/>
          <w:sz w:val="36"/>
        </w:rPr>
      </w:pPr>
    </w:p>
    <w:p>
      <w:r>
        <w:rPr>
          <w:rFonts w:hint="eastAsia" w:ascii="黑体" w:hAnsi="宋体" w:eastAsia="黑体"/>
          <w:sz w:val="32"/>
          <w:szCs w:val="32"/>
        </w:rPr>
        <w:t>二、报价一览表</w:t>
      </w:r>
    </w:p>
    <w:p>
      <w:pPr>
        <w:adjustRightInd w:val="0"/>
        <w:snapToGrid w:val="0"/>
        <w:rPr>
          <w:rFonts w:ascii="宋体"/>
          <w:sz w:val="24"/>
        </w:rPr>
      </w:pPr>
    </w:p>
    <w:tbl>
      <w:tblPr>
        <w:tblStyle w:val="14"/>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28"/>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adjustRightInd w:val="0"/>
        <w:snapToGrid w:val="0"/>
        <w:spacing w:line="360" w:lineRule="auto"/>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w:fldChar w:fldCharType="begin"/>
    </w:r>
    <w:r>
      <w:instrText xml:space="preserve"> PAGE   \* MERGEFORMAT </w:instrText>
    </w:r>
    <w:r>
      <w:fldChar w:fldCharType="separate"/>
    </w:r>
    <w:r>
      <w:rPr>
        <w:lang w:val="zh-CN"/>
      </w:rPr>
      <w:t>17</w:t>
    </w:r>
    <w:r>
      <w:rPr>
        <w:lang w:val="zh-CN"/>
      </w:rP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0YjczZDRlODZhMjRlM2RmZmMxZjk4YmQwN2Y3OTIifQ=="/>
  </w:docVars>
  <w:rsids>
    <w:rsidRoot w:val="00006E6E"/>
    <w:rsid w:val="00006E6E"/>
    <w:rsid w:val="00007A96"/>
    <w:rsid w:val="000228EE"/>
    <w:rsid w:val="00084775"/>
    <w:rsid w:val="000B7C46"/>
    <w:rsid w:val="00117E14"/>
    <w:rsid w:val="00144400"/>
    <w:rsid w:val="001768B7"/>
    <w:rsid w:val="001B761B"/>
    <w:rsid w:val="001E09FB"/>
    <w:rsid w:val="002075B4"/>
    <w:rsid w:val="002359E3"/>
    <w:rsid w:val="0025258F"/>
    <w:rsid w:val="00263B00"/>
    <w:rsid w:val="002837EC"/>
    <w:rsid w:val="002C2BD9"/>
    <w:rsid w:val="00334630"/>
    <w:rsid w:val="00363BC6"/>
    <w:rsid w:val="003664A8"/>
    <w:rsid w:val="00370EAE"/>
    <w:rsid w:val="00371187"/>
    <w:rsid w:val="003944EE"/>
    <w:rsid w:val="004619D4"/>
    <w:rsid w:val="004D644D"/>
    <w:rsid w:val="00530A85"/>
    <w:rsid w:val="005707D2"/>
    <w:rsid w:val="0057684B"/>
    <w:rsid w:val="00580894"/>
    <w:rsid w:val="00585B13"/>
    <w:rsid w:val="005A7684"/>
    <w:rsid w:val="005C07D9"/>
    <w:rsid w:val="005D3127"/>
    <w:rsid w:val="00603327"/>
    <w:rsid w:val="00606221"/>
    <w:rsid w:val="006B0E40"/>
    <w:rsid w:val="00735653"/>
    <w:rsid w:val="0077004F"/>
    <w:rsid w:val="00777CD2"/>
    <w:rsid w:val="00785947"/>
    <w:rsid w:val="00786426"/>
    <w:rsid w:val="0079333D"/>
    <w:rsid w:val="007C414E"/>
    <w:rsid w:val="00820098"/>
    <w:rsid w:val="00846879"/>
    <w:rsid w:val="00863705"/>
    <w:rsid w:val="008E0054"/>
    <w:rsid w:val="009000D3"/>
    <w:rsid w:val="009244A5"/>
    <w:rsid w:val="009423E8"/>
    <w:rsid w:val="009A0B3B"/>
    <w:rsid w:val="009A4F1F"/>
    <w:rsid w:val="00A31BD7"/>
    <w:rsid w:val="00A46FDA"/>
    <w:rsid w:val="00A63DCD"/>
    <w:rsid w:val="00A6620E"/>
    <w:rsid w:val="00A76F69"/>
    <w:rsid w:val="00A81CB8"/>
    <w:rsid w:val="00A848ED"/>
    <w:rsid w:val="00AC3E98"/>
    <w:rsid w:val="00AE31A5"/>
    <w:rsid w:val="00AE7400"/>
    <w:rsid w:val="00AF05C2"/>
    <w:rsid w:val="00B11247"/>
    <w:rsid w:val="00B54F71"/>
    <w:rsid w:val="00B96C39"/>
    <w:rsid w:val="00BA748E"/>
    <w:rsid w:val="00BE3271"/>
    <w:rsid w:val="00C0238A"/>
    <w:rsid w:val="00C26D6F"/>
    <w:rsid w:val="00C27B0D"/>
    <w:rsid w:val="00C50BC6"/>
    <w:rsid w:val="00C554ED"/>
    <w:rsid w:val="00C7165F"/>
    <w:rsid w:val="00C7209A"/>
    <w:rsid w:val="00CB1E3D"/>
    <w:rsid w:val="00CB5FB4"/>
    <w:rsid w:val="00DB38AC"/>
    <w:rsid w:val="00E34260"/>
    <w:rsid w:val="00E3577D"/>
    <w:rsid w:val="00E65349"/>
    <w:rsid w:val="00E84C92"/>
    <w:rsid w:val="00F961E7"/>
    <w:rsid w:val="00FA3EBB"/>
    <w:rsid w:val="00FD64D9"/>
    <w:rsid w:val="0161430E"/>
    <w:rsid w:val="022829DC"/>
    <w:rsid w:val="027F08A5"/>
    <w:rsid w:val="04DF7572"/>
    <w:rsid w:val="054741BF"/>
    <w:rsid w:val="05635C11"/>
    <w:rsid w:val="056D0D1F"/>
    <w:rsid w:val="059C1B06"/>
    <w:rsid w:val="05C33AC4"/>
    <w:rsid w:val="05CA71E5"/>
    <w:rsid w:val="05CC4494"/>
    <w:rsid w:val="05F67B7E"/>
    <w:rsid w:val="05FD02DD"/>
    <w:rsid w:val="07904EBD"/>
    <w:rsid w:val="085D6721"/>
    <w:rsid w:val="093C07D4"/>
    <w:rsid w:val="0970062C"/>
    <w:rsid w:val="0B3F3029"/>
    <w:rsid w:val="0C173EB3"/>
    <w:rsid w:val="0C2D6623"/>
    <w:rsid w:val="0D344C93"/>
    <w:rsid w:val="0D353EED"/>
    <w:rsid w:val="0D971B06"/>
    <w:rsid w:val="13402B15"/>
    <w:rsid w:val="143720BB"/>
    <w:rsid w:val="150A3E4E"/>
    <w:rsid w:val="1588601A"/>
    <w:rsid w:val="16AB33DC"/>
    <w:rsid w:val="16ED50B9"/>
    <w:rsid w:val="178B78A3"/>
    <w:rsid w:val="18383862"/>
    <w:rsid w:val="18621453"/>
    <w:rsid w:val="18D1399A"/>
    <w:rsid w:val="19814041"/>
    <w:rsid w:val="199D42C0"/>
    <w:rsid w:val="1A7263A2"/>
    <w:rsid w:val="1B1F0E79"/>
    <w:rsid w:val="1B7426BE"/>
    <w:rsid w:val="1B8762F0"/>
    <w:rsid w:val="1BE0456A"/>
    <w:rsid w:val="1C1679B2"/>
    <w:rsid w:val="1C323AB6"/>
    <w:rsid w:val="1D065DE4"/>
    <w:rsid w:val="1E434590"/>
    <w:rsid w:val="1E7C3C70"/>
    <w:rsid w:val="1EB06B0E"/>
    <w:rsid w:val="1EF704DB"/>
    <w:rsid w:val="1F42404B"/>
    <w:rsid w:val="1FF33198"/>
    <w:rsid w:val="22BB4C13"/>
    <w:rsid w:val="23215FE6"/>
    <w:rsid w:val="235C0EA9"/>
    <w:rsid w:val="24B174ED"/>
    <w:rsid w:val="255A38EE"/>
    <w:rsid w:val="26A90211"/>
    <w:rsid w:val="27560E02"/>
    <w:rsid w:val="282E0F17"/>
    <w:rsid w:val="28571BCC"/>
    <w:rsid w:val="28F84BEF"/>
    <w:rsid w:val="2A090286"/>
    <w:rsid w:val="2B6449A8"/>
    <w:rsid w:val="2C3B5DDB"/>
    <w:rsid w:val="2D7C1018"/>
    <w:rsid w:val="2D9A1ECC"/>
    <w:rsid w:val="2E946581"/>
    <w:rsid w:val="2F8D691A"/>
    <w:rsid w:val="2FB7085B"/>
    <w:rsid w:val="31752DAB"/>
    <w:rsid w:val="32BC22BD"/>
    <w:rsid w:val="339B56A4"/>
    <w:rsid w:val="33A26965"/>
    <w:rsid w:val="340658AD"/>
    <w:rsid w:val="34C3222F"/>
    <w:rsid w:val="354102AC"/>
    <w:rsid w:val="3634645C"/>
    <w:rsid w:val="36D22E8B"/>
    <w:rsid w:val="37C07F9E"/>
    <w:rsid w:val="38645492"/>
    <w:rsid w:val="387E5C8A"/>
    <w:rsid w:val="3B630FA1"/>
    <w:rsid w:val="3B7C4610"/>
    <w:rsid w:val="3CEF4D8A"/>
    <w:rsid w:val="3D066D9E"/>
    <w:rsid w:val="3E3A2DF3"/>
    <w:rsid w:val="3F102902"/>
    <w:rsid w:val="424A05CE"/>
    <w:rsid w:val="426B2BF7"/>
    <w:rsid w:val="42AE428A"/>
    <w:rsid w:val="42FA2C51"/>
    <w:rsid w:val="43045181"/>
    <w:rsid w:val="436E238F"/>
    <w:rsid w:val="44396B45"/>
    <w:rsid w:val="44850A45"/>
    <w:rsid w:val="45111192"/>
    <w:rsid w:val="45146934"/>
    <w:rsid w:val="453B3EF8"/>
    <w:rsid w:val="461C4E94"/>
    <w:rsid w:val="467970EB"/>
    <w:rsid w:val="48334C8C"/>
    <w:rsid w:val="493E07C0"/>
    <w:rsid w:val="49B65C97"/>
    <w:rsid w:val="4A0A10B0"/>
    <w:rsid w:val="4AF97636"/>
    <w:rsid w:val="4B1C2990"/>
    <w:rsid w:val="4BA25774"/>
    <w:rsid w:val="4C223EB0"/>
    <w:rsid w:val="4D9E7812"/>
    <w:rsid w:val="4E394BA1"/>
    <w:rsid w:val="4E711836"/>
    <w:rsid w:val="4E7A3BA3"/>
    <w:rsid w:val="4F006323"/>
    <w:rsid w:val="4F3D5201"/>
    <w:rsid w:val="509D08A7"/>
    <w:rsid w:val="509E56C3"/>
    <w:rsid w:val="511456CA"/>
    <w:rsid w:val="52046804"/>
    <w:rsid w:val="52F105E1"/>
    <w:rsid w:val="553329B0"/>
    <w:rsid w:val="577A64C4"/>
    <w:rsid w:val="585C553F"/>
    <w:rsid w:val="586079EA"/>
    <w:rsid w:val="5A8F3EA5"/>
    <w:rsid w:val="5AEE4062"/>
    <w:rsid w:val="5BBB71F8"/>
    <w:rsid w:val="5BFF7943"/>
    <w:rsid w:val="5D2A2723"/>
    <w:rsid w:val="5D9378AF"/>
    <w:rsid w:val="5E56345B"/>
    <w:rsid w:val="5F001A99"/>
    <w:rsid w:val="5FA45F8C"/>
    <w:rsid w:val="60653934"/>
    <w:rsid w:val="61270118"/>
    <w:rsid w:val="62024F9D"/>
    <w:rsid w:val="62AF064C"/>
    <w:rsid w:val="63051755"/>
    <w:rsid w:val="64D86611"/>
    <w:rsid w:val="6537641E"/>
    <w:rsid w:val="659B7D43"/>
    <w:rsid w:val="661A4C30"/>
    <w:rsid w:val="667B5128"/>
    <w:rsid w:val="67946E1E"/>
    <w:rsid w:val="67FB2456"/>
    <w:rsid w:val="68830183"/>
    <w:rsid w:val="68D31F2E"/>
    <w:rsid w:val="69DD39EA"/>
    <w:rsid w:val="6AE04A8F"/>
    <w:rsid w:val="6CCA459E"/>
    <w:rsid w:val="6D4D41F1"/>
    <w:rsid w:val="6D64761C"/>
    <w:rsid w:val="6EF75561"/>
    <w:rsid w:val="6F0D7B59"/>
    <w:rsid w:val="6F0E115F"/>
    <w:rsid w:val="70701DBA"/>
    <w:rsid w:val="70F52990"/>
    <w:rsid w:val="71293651"/>
    <w:rsid w:val="716D48CC"/>
    <w:rsid w:val="71751DE9"/>
    <w:rsid w:val="71AC7DC5"/>
    <w:rsid w:val="71BB5C90"/>
    <w:rsid w:val="71D648F6"/>
    <w:rsid w:val="726D7D9F"/>
    <w:rsid w:val="72791693"/>
    <w:rsid w:val="72E272C7"/>
    <w:rsid w:val="739C5A33"/>
    <w:rsid w:val="73A31396"/>
    <w:rsid w:val="753D071E"/>
    <w:rsid w:val="754B1409"/>
    <w:rsid w:val="75563E74"/>
    <w:rsid w:val="762967D1"/>
    <w:rsid w:val="78BF39FA"/>
    <w:rsid w:val="7956543B"/>
    <w:rsid w:val="7A4C3816"/>
    <w:rsid w:val="7B1F0BD1"/>
    <w:rsid w:val="7B492577"/>
    <w:rsid w:val="7D082F5D"/>
    <w:rsid w:val="7E3829D7"/>
    <w:rsid w:val="7F54703D"/>
    <w:rsid w:val="7F8250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link w:val="24"/>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autoRedefine/>
    <w:qFormat/>
    <w:uiPriority w:val="0"/>
    <w:pPr>
      <w:widowControl/>
      <w:spacing w:line="360" w:lineRule="auto"/>
      <w:outlineLvl w:val="2"/>
    </w:pPr>
    <w:rPr>
      <w:b/>
      <w:bCs/>
      <w:kern w:val="0"/>
      <w:sz w:val="24"/>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7">
    <w:name w:val="annotation text"/>
    <w:basedOn w:val="1"/>
    <w:autoRedefine/>
    <w:semiHidden/>
    <w:unhideWhenUsed/>
    <w:qFormat/>
    <w:uiPriority w:val="99"/>
    <w:pPr>
      <w:jc w:val="left"/>
    </w:pPr>
  </w:style>
  <w:style w:type="paragraph" w:styleId="8">
    <w:name w:val="Body Text Indent"/>
    <w:basedOn w:val="1"/>
    <w:autoRedefine/>
    <w:qFormat/>
    <w:uiPriority w:val="0"/>
    <w:pPr>
      <w:spacing w:line="360" w:lineRule="auto"/>
      <w:ind w:firstLine="560" w:firstLineChars="200"/>
    </w:pPr>
    <w:rPr>
      <w:rFonts w:ascii="宋体"/>
      <w:sz w:val="28"/>
    </w:rPr>
  </w:style>
  <w:style w:type="paragraph" w:styleId="9">
    <w:name w:val="Plain Text"/>
    <w:basedOn w:val="1"/>
    <w:link w:val="25"/>
    <w:autoRedefine/>
    <w:qFormat/>
    <w:uiPriority w:val="0"/>
    <w:rPr>
      <w:rFonts w:ascii="宋体" w:hAnsi="Courier New" w:eastAsia="仿宋_GB2312" w:cs="Times New Roman"/>
      <w:sz w:val="32"/>
      <w:szCs w:val="20"/>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2"/>
    <w:basedOn w:val="8"/>
    <w:autoRedefine/>
    <w:unhideWhenUsed/>
    <w:qFormat/>
    <w:uiPriority w:val="99"/>
    <w:pPr>
      <w:autoSpaceDE w:val="0"/>
      <w:autoSpaceDN w:val="0"/>
      <w:adjustRightInd w:val="0"/>
      <w:jc w:val="left"/>
    </w:pPr>
    <w:rPr>
      <w:kern w:val="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annotation reference"/>
    <w:basedOn w:val="16"/>
    <w:autoRedefine/>
    <w:semiHidden/>
    <w:unhideWhenUsed/>
    <w:qFormat/>
    <w:uiPriority w:val="99"/>
    <w:rPr>
      <w:sz w:val="21"/>
      <w:szCs w:val="21"/>
    </w:rPr>
  </w:style>
  <w:style w:type="character" w:customStyle="1" w:styleId="18">
    <w:name w:val="页眉 字符"/>
    <w:basedOn w:val="16"/>
    <w:link w:val="11"/>
    <w:autoRedefine/>
    <w:qFormat/>
    <w:uiPriority w:val="99"/>
    <w:rPr>
      <w:sz w:val="18"/>
      <w:szCs w:val="18"/>
    </w:rPr>
  </w:style>
  <w:style w:type="character" w:customStyle="1" w:styleId="19">
    <w:name w:val="页脚 字符"/>
    <w:basedOn w:val="16"/>
    <w:link w:val="10"/>
    <w:autoRedefine/>
    <w:qFormat/>
    <w:uiPriority w:val="99"/>
    <w:rPr>
      <w:sz w:val="18"/>
      <w:szCs w:val="18"/>
    </w:rPr>
  </w:style>
  <w:style w:type="paragraph" w:customStyle="1" w:styleId="20">
    <w:name w:val="BodyText1I"/>
    <w:basedOn w:val="21"/>
    <w:autoRedefine/>
    <w:qFormat/>
    <w:uiPriority w:val="0"/>
    <w:pPr>
      <w:spacing w:line="312" w:lineRule="auto"/>
      <w:ind w:firstLine="420"/>
    </w:pPr>
    <w:rPr>
      <w:rFonts w:ascii="Calibri" w:hAnsi="Calibri"/>
    </w:rPr>
  </w:style>
  <w:style w:type="paragraph" w:customStyle="1" w:styleId="21">
    <w:name w:val="BodyText"/>
    <w:basedOn w:val="1"/>
    <w:autoRedefine/>
    <w:qFormat/>
    <w:uiPriority w:val="0"/>
    <w:pPr>
      <w:spacing w:after="120"/>
    </w:pPr>
  </w:style>
  <w:style w:type="paragraph" w:customStyle="1" w:styleId="22">
    <w:name w:val="p0"/>
    <w:basedOn w:val="1"/>
    <w:autoRedefine/>
    <w:qFormat/>
    <w:uiPriority w:val="0"/>
    <w:pPr>
      <w:widowControl/>
    </w:pPr>
    <w:rPr>
      <w:szCs w:val="21"/>
    </w:rPr>
  </w:style>
  <w:style w:type="paragraph" w:styleId="23">
    <w:name w:val="List Paragraph"/>
    <w:basedOn w:val="1"/>
    <w:autoRedefine/>
    <w:qFormat/>
    <w:uiPriority w:val="0"/>
    <w:pPr>
      <w:ind w:firstLine="420" w:firstLineChars="200"/>
    </w:pPr>
    <w:rPr>
      <w:rFonts w:ascii="Calibri" w:hAnsi="Calibri"/>
    </w:rPr>
  </w:style>
  <w:style w:type="character" w:customStyle="1" w:styleId="24">
    <w:name w:val="标题 2 字符"/>
    <w:basedOn w:val="16"/>
    <w:link w:val="5"/>
    <w:autoRedefine/>
    <w:semiHidden/>
    <w:qFormat/>
    <w:uiPriority w:val="9"/>
    <w:rPr>
      <w:rFonts w:asciiTheme="majorHAnsi" w:hAnsiTheme="majorHAnsi" w:eastAsiaTheme="majorEastAsia" w:cstheme="majorBidi"/>
      <w:b/>
      <w:bCs/>
      <w:kern w:val="2"/>
      <w:sz w:val="32"/>
      <w:szCs w:val="32"/>
    </w:rPr>
  </w:style>
  <w:style w:type="character" w:customStyle="1" w:styleId="25">
    <w:name w:val="纯文本 字符"/>
    <w:basedOn w:val="16"/>
    <w:link w:val="9"/>
    <w:autoRedefine/>
    <w:qFormat/>
    <w:uiPriority w:val="0"/>
    <w:rPr>
      <w:rFonts w:ascii="宋体" w:hAnsi="Courier New" w:eastAsia="仿宋_GB2312"/>
      <w:kern w:val="2"/>
      <w:sz w:val="32"/>
    </w:rPr>
  </w:style>
  <w:style w:type="paragraph" w:customStyle="1" w:styleId="26">
    <w:name w:val="样式2"/>
    <w:basedOn w:val="6"/>
    <w:autoRedefine/>
    <w:unhideWhenUsed/>
    <w:qFormat/>
    <w:uiPriority w:val="99"/>
    <w:rPr>
      <w:i/>
    </w:rPr>
  </w:style>
  <w:style w:type="paragraph" w:customStyle="1" w:styleId="27">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8">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2EFBBCD3-E898-4663-B178-0EA1C6B7CA40}">
  <ds:schemaRefs/>
</ds:datastoreItem>
</file>

<file path=customXml/itemProps2.xml><?xml version="1.0" encoding="utf-8"?>
<ds:datastoreItem xmlns:ds="http://schemas.openxmlformats.org/officeDocument/2006/customXml" ds:itemID="{6C1FE84E-734D-4D56-8549-B24DA904CAC6}">
  <ds:schemaRefs/>
</ds:datastoreItem>
</file>

<file path=customXml/itemProps3.xml><?xml version="1.0" encoding="utf-8"?>
<ds:datastoreItem xmlns:ds="http://schemas.openxmlformats.org/officeDocument/2006/customXml" ds:itemID="{319F4333-9B17-4C87-B5B2-A57A371A545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437</Words>
  <Characters>2492</Characters>
  <Lines>20</Lines>
  <Paragraphs>5</Paragraphs>
  <TotalTime>12</TotalTime>
  <ScaleCrop>false</ScaleCrop>
  <LinksUpToDate>false</LinksUpToDate>
  <CharactersWithSpaces>2924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龙佑方</cp:lastModifiedBy>
  <dcterms:modified xsi:type="dcterms:W3CDTF">2024-01-11T03:43:51Z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50D1475F6DF94A31B90322055947DFE6</vt:lpwstr>
  </property>
</Properties>
</file>