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hint="default" w:asciiTheme="minorEastAsia" w:hAnsiTheme="minorEastAsia" w:cstheme="minorEastAsia"/>
          <w:b/>
          <w:bCs/>
          <w:spacing w:val="-20"/>
          <w:sz w:val="40"/>
          <w:szCs w:val="40"/>
          <w:lang w:val="en-US"/>
        </w:rPr>
      </w:pPr>
      <w:r>
        <w:rPr>
          <w:rFonts w:hint="eastAsia" w:asciiTheme="minorEastAsia" w:hAnsiTheme="minorEastAsia" w:cstheme="minorEastAsia"/>
          <w:b/>
          <w:bCs/>
          <w:spacing w:val="-20"/>
          <w:sz w:val="40"/>
          <w:szCs w:val="40"/>
          <w:u w:val="single"/>
          <w:lang w:val="en-US" w:eastAsia="zh-CN"/>
        </w:rPr>
        <w:t xml:space="preserve"> 湖南临港高新技术产业开发区现代职业教育产业园岩土工程初步勘察项目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lang w:val="en-US" w:eastAsia="zh-CN"/>
        </w:rPr>
        <w:t>YYYS</w:t>
      </w:r>
      <w:r>
        <w:rPr>
          <w:rFonts w:hint="eastAsia" w:asciiTheme="minorEastAsia" w:hAnsiTheme="minorEastAsia" w:cstheme="minorEastAsia"/>
          <w:b/>
          <w:bCs/>
          <w:sz w:val="36"/>
          <w:szCs w:val="36"/>
        </w:rPr>
        <w:t>202</w:t>
      </w:r>
      <w:r>
        <w:rPr>
          <w:rFonts w:hint="eastAsia" w:asciiTheme="minorEastAsia" w:hAnsiTheme="minorEastAsia" w:cstheme="minorEastAsia"/>
          <w:b/>
          <w:bCs/>
          <w:sz w:val="36"/>
          <w:szCs w:val="36"/>
          <w:lang w:val="en-US" w:eastAsia="zh-CN"/>
        </w:rPr>
        <w:t>4-</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eastAsia="zh-CN"/>
        </w:rPr>
        <w:t>岳阳</w:t>
      </w:r>
      <w:r>
        <w:rPr>
          <w:rFonts w:hint="eastAsia" w:asciiTheme="minorEastAsia" w:hAnsiTheme="minorEastAsia" w:cstheme="minorEastAsia"/>
          <w:b/>
          <w:bCs/>
          <w:sz w:val="32"/>
          <w:szCs w:val="32"/>
          <w:lang w:val="en-US" w:eastAsia="zh-CN"/>
        </w:rPr>
        <w:t>育盛教育投资</w:t>
      </w:r>
      <w:r>
        <w:rPr>
          <w:rFonts w:hint="eastAsia" w:asciiTheme="minorEastAsia" w:hAnsiTheme="minorEastAsia" w:cstheme="minorEastAsia"/>
          <w:b/>
          <w:bCs/>
          <w:sz w:val="32"/>
          <w:szCs w:val="32"/>
          <w:lang w:eastAsia="zh-CN"/>
        </w:rPr>
        <w:t>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一</w:t>
      </w:r>
      <w:bookmarkStart w:id="3" w:name="_GoBack"/>
      <w:bookmarkEnd w:id="3"/>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700" w:lineRule="exact"/>
        <w:jc w:val="center"/>
        <w:outlineLvl w:val="0"/>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lang w:val="en-US" w:eastAsia="zh-CN"/>
        </w:rPr>
        <w:t xml:space="preserve"> 湖南临港高新技术产业开发区现代职业教育产业园岩土工程初步勘察项目</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2、建设地点：</w:t>
      </w:r>
      <w:r>
        <w:rPr>
          <w:rFonts w:hint="eastAsia" w:asciiTheme="minorEastAsia" w:hAnsiTheme="minorEastAsia" w:cstheme="minorEastAsia"/>
          <w:sz w:val="28"/>
          <w:szCs w:val="28"/>
          <w:u w:val="single"/>
          <w:lang w:val="en-US" w:eastAsia="zh-CN"/>
        </w:rPr>
        <w:t>于湖南岳阳城陵矶新港区，松阳湖路以北，许广高速以西，松阳湖以南所前咀地块。</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left="0" w:leftChars="0"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u w:val="single"/>
          <w:lang w:val="en-US" w:eastAsia="zh-CN"/>
        </w:rPr>
        <w:t>按照要求对湖南临港高新技术产业开发区现代职业教育产业园岩土工程初步勘察项目点位进行初步勘测。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u w:val="single"/>
          <w:lang w:val="en-US" w:eastAsia="zh-CN"/>
        </w:rPr>
        <w:t xml:space="preserve">299738.3 </w:t>
      </w:r>
      <w:r>
        <w:rPr>
          <w:rFonts w:hint="eastAsia" w:asciiTheme="minorEastAsia" w:hAnsiTheme="minorEastAsia" w:cstheme="minorEastAsia"/>
          <w:sz w:val="28"/>
          <w:szCs w:val="28"/>
        </w:rPr>
        <w:t>元</w:t>
      </w:r>
      <w:r>
        <w:rPr>
          <w:rFonts w:hint="eastAsia" w:asciiTheme="minorEastAsia" w:hAnsiTheme="minorEastAsia" w:cstheme="minorEastAsia"/>
          <w:sz w:val="28"/>
          <w:szCs w:val="28"/>
          <w:lang w:val="en-US" w:eastAsia="zh-CN"/>
        </w:rPr>
        <w:t>人民币</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含税</w:t>
      </w:r>
      <w:r>
        <w:rPr>
          <w:rFonts w:hint="eastAsia" w:asciiTheme="minorEastAsia" w:hAnsiTheme="minorEastAsia" w:cstheme="minorEastAsia"/>
          <w:sz w:val="28"/>
          <w:szCs w:val="28"/>
          <w:lang w:eastAsia="zh-CN"/>
        </w:rPr>
        <w:t>），须开具有效的增值税专用发票</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5、工期要求：</w:t>
      </w:r>
      <w:r>
        <w:rPr>
          <w:rFonts w:hint="eastAsia" w:asciiTheme="minorEastAsia" w:hAnsiTheme="minorEastAsia" w:cstheme="minorEastAsia"/>
          <w:sz w:val="28"/>
          <w:szCs w:val="28"/>
          <w:u w:val="single"/>
          <w:lang w:val="en-US" w:eastAsia="zh-CN"/>
        </w:rPr>
        <w:t xml:space="preserve"> 30 </w:t>
      </w:r>
      <w:r>
        <w:rPr>
          <w:rFonts w:hint="eastAsia" w:asciiTheme="minorEastAsia" w:hAnsiTheme="minorEastAsia" w:cstheme="minorEastAsia"/>
          <w:sz w:val="28"/>
          <w:szCs w:val="28"/>
        </w:rPr>
        <w:t>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w:t>
      </w:r>
      <w:r>
        <w:rPr>
          <w:rFonts w:hint="eastAsia" w:asciiTheme="minorEastAsia" w:hAnsiTheme="minorEastAsia" w:cstheme="minorEastAsia"/>
          <w:sz w:val="28"/>
          <w:szCs w:val="28"/>
          <w:lang w:eastAsia="zh-CN"/>
        </w:rPr>
        <w:t>附件</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7、质量要求：符合国家颁布的施工验收规范和质量检验标准，全部工程达到合格标准；</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numPr>
          <w:ilvl w:val="0"/>
          <w:numId w:val="3"/>
        </w:num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必须具有独立法人资格并依法取得有效的营业执照、税务登记证、组织机构代码证。</w:t>
      </w:r>
    </w:p>
    <w:p>
      <w:pPr>
        <w:pStyle w:val="2"/>
        <w:numPr>
          <w:ilvl w:val="-1"/>
          <w:numId w:val="0"/>
        </w:numPr>
        <w:ind w:firstLine="560" w:firstLineChars="200"/>
        <w:rPr>
          <w:rFonts w:hint="eastAsia" w:eastAsiaTheme="minorEastAsia"/>
          <w:lang w:val="en-US" w:eastAsia="zh-CN"/>
        </w:rPr>
      </w:pPr>
      <w:r>
        <w:rPr>
          <w:rFonts w:hint="eastAsia" w:asciiTheme="minorEastAsia" w:hAnsiTheme="minorEastAsia" w:cstheme="minorEastAsia"/>
          <w:sz w:val="28"/>
          <w:szCs w:val="28"/>
        </w:rPr>
        <w:t>2、</w:t>
      </w:r>
      <w:r>
        <w:rPr>
          <w:rFonts w:hint="eastAsia" w:asciiTheme="minorEastAsia" w:hAnsiTheme="minorEastAsia" w:cstheme="minorEastAsia"/>
          <w:sz w:val="28"/>
          <w:szCs w:val="28"/>
          <w:lang w:val="en-US" w:eastAsia="zh-CN"/>
        </w:rPr>
        <w:t>必须</w:t>
      </w:r>
      <w:r>
        <w:rPr>
          <w:rFonts w:hint="eastAsia" w:asciiTheme="minorEastAsia" w:hAnsiTheme="minorEastAsia" w:cstheme="minorEastAsia"/>
          <w:sz w:val="28"/>
          <w:szCs w:val="28"/>
        </w:rPr>
        <w:t>具</w:t>
      </w:r>
      <w:r>
        <w:rPr>
          <w:rFonts w:hint="eastAsia" w:asciiTheme="minorEastAsia" w:hAnsiTheme="minorEastAsia" w:cstheme="minorEastAsia"/>
          <w:sz w:val="28"/>
          <w:szCs w:val="28"/>
          <w:lang w:val="en-US" w:eastAsia="zh-CN"/>
        </w:rPr>
        <w:t>备</w:t>
      </w:r>
      <w:r>
        <w:rPr>
          <w:rFonts w:hint="eastAsia" w:asciiTheme="minorEastAsia" w:hAnsiTheme="minorEastAsia" w:cstheme="minorEastAsia"/>
          <w:sz w:val="28"/>
          <w:szCs w:val="28"/>
          <w:u w:val="single"/>
          <w:lang w:val="en-US" w:eastAsia="zh-CN"/>
        </w:rPr>
        <w:t>岩土工程（勘察）</w:t>
      </w:r>
      <w:r>
        <w:rPr>
          <w:rFonts w:hint="eastAsia" w:asciiTheme="minorEastAsia" w:hAnsiTheme="minorEastAsia" w:cstheme="minorEastAsia"/>
          <w:sz w:val="28"/>
          <w:szCs w:val="28"/>
        </w:rPr>
        <w:t>资质</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、无不良信用记录，提供在“信用中国”的查询复印件加盖公章。</w:t>
      </w:r>
    </w:p>
    <w:p>
      <w:pPr>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、参加本次</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活动前三年内，在经营活动中没有重大违法记录</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5、本项目不接受联合体投标人。</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6、投标</w:t>
      </w:r>
      <w:r>
        <w:rPr>
          <w:rFonts w:hint="eastAsia" w:asciiTheme="minorEastAsia" w:hAnsiTheme="minorEastAsia" w:cstheme="minorEastAsia"/>
          <w:sz w:val="28"/>
          <w:szCs w:val="28"/>
        </w:rPr>
        <w:t>单位负责人为同一人或者存在直接控股、</w:t>
      </w:r>
      <w:r>
        <w:rPr>
          <w:rFonts w:hint="eastAsia" w:asciiTheme="minorEastAsia" w:hAnsiTheme="minorEastAsia" w:cstheme="minorEastAsia"/>
          <w:sz w:val="28"/>
          <w:szCs w:val="28"/>
          <w:lang w:val="en-US" w:eastAsia="zh-CN"/>
        </w:rPr>
        <w:t>关联</w:t>
      </w:r>
      <w:r>
        <w:rPr>
          <w:rFonts w:hint="eastAsia" w:asciiTheme="minorEastAsia" w:hAnsiTheme="minorEastAsia" w:cstheme="minorEastAsia"/>
          <w:sz w:val="28"/>
          <w:szCs w:val="28"/>
        </w:rPr>
        <w:t>关系的不同投标人，不得参加同一合同项下的</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活动。</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列入失信被执行人、重大税收违法案件当事人名单，列入</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严重违法失信行为记录名单的，</w:t>
      </w:r>
      <w:r>
        <w:rPr>
          <w:rFonts w:hint="eastAsia" w:asciiTheme="minorEastAsia" w:hAnsiTheme="minorEastAsia" w:cstheme="minorEastAsia"/>
          <w:sz w:val="28"/>
          <w:szCs w:val="28"/>
          <w:lang w:val="en-US" w:eastAsia="zh-CN"/>
        </w:rPr>
        <w:t>不得</w:t>
      </w:r>
      <w:r>
        <w:rPr>
          <w:rFonts w:hint="eastAsia" w:asciiTheme="minorEastAsia" w:hAnsiTheme="minorEastAsia" w:cstheme="minorEastAsia"/>
          <w:sz w:val="28"/>
          <w:szCs w:val="28"/>
        </w:rPr>
        <w:t>参与</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活动。</w:t>
      </w:r>
    </w:p>
    <w:p>
      <w:pPr>
        <w:adjustRightInd w:val="0"/>
        <w:snapToGrid w:val="0"/>
        <w:spacing w:line="360" w:lineRule="auto"/>
        <w:ind w:firstLine="560" w:firstLineChars="200"/>
        <w:rPr>
          <w:rFonts w:hint="default" w:asciiTheme="minorEastAsia" w:hAnsiTheme="minorEastAsia" w:cstheme="minorEastAsia"/>
          <w:sz w:val="28"/>
          <w:szCs w:val="28"/>
          <w:lang w:val="en-US"/>
        </w:rPr>
      </w:pP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与岳阳育盛教育投资有限公司的业务合作方面无不良记录</w:t>
      </w:r>
      <w:r>
        <w:rPr>
          <w:rFonts w:hint="eastAsia" w:asciiTheme="minorEastAsia" w:hAnsiTheme="minorEastAsia" w:cstheme="minorEastAsia"/>
          <w:sz w:val="28"/>
          <w:szCs w:val="28"/>
          <w:lang w:eastAsia="zh-CN"/>
        </w:rPr>
        <w:t>。</w:t>
      </w:r>
    </w:p>
    <w:p>
      <w:pPr>
        <w:pStyle w:val="3"/>
        <w:adjustRightInd w:val="0"/>
        <w:snapToGrid w:val="0"/>
        <w:spacing w:line="360" w:lineRule="auto"/>
        <w:ind w:firstLine="560" w:firstLineChars="200"/>
        <w:rPr>
          <w:rFonts w:hint="eastAsia" w:asciiTheme="minorEastAsia" w:hAnsiTheme="minorEastAsia" w:cstheme="minorEastAsia"/>
          <w:sz w:val="28"/>
          <w:szCs w:val="28"/>
        </w:rPr>
      </w:pP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w:t>
      </w:r>
      <w:r>
        <w:rPr>
          <w:rFonts w:hint="eastAsia" w:asciiTheme="minorEastAsia" w:hAnsiTheme="minorEastAsia" w:cstheme="minorEastAsia"/>
          <w:sz w:val="28"/>
          <w:szCs w:val="28"/>
          <w:lang w:val="en-US" w:eastAsia="zh-CN"/>
        </w:rPr>
        <w:t>税务登记、</w:t>
      </w:r>
      <w:r>
        <w:rPr>
          <w:rFonts w:hint="eastAsia" w:asciiTheme="minorEastAsia" w:hAnsiTheme="minorEastAsia" w:cstheme="minorEastAsia"/>
          <w:sz w:val="28"/>
          <w:szCs w:val="28"/>
        </w:rPr>
        <w:t>资质证书、“信用中国”的查询报告。</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w:t>
      </w:r>
      <w:r>
        <w:rPr>
          <w:rFonts w:hint="eastAsia" w:asciiTheme="minorEastAsia" w:hAnsiTheme="minorEastAsia" w:cstheme="minorEastAsia"/>
          <w:sz w:val="28"/>
          <w:szCs w:val="28"/>
          <w:lang w:eastAsia="zh-CN"/>
        </w:rPr>
        <w:t>项目实际情况</w:t>
      </w:r>
      <w:r>
        <w:rPr>
          <w:rFonts w:hint="eastAsia" w:asciiTheme="minorEastAsia" w:hAnsiTheme="minorEastAsia" w:cstheme="minorEastAsia"/>
          <w:sz w:val="28"/>
          <w:szCs w:val="28"/>
        </w:rPr>
        <w:t>进行报价，编制投标预算清单，报价文件中总价和各子项单价均不得超过财评清单金额（如投标人认为预算清单中价格有误，须在开标前规定的时间内向招标人提出质疑，按招标人核实的回复意见执行）。</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lang w:val="en-US" w:eastAsia="zh-CN"/>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1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2 </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1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5 </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官网（http://www.yyguansheng.com/）下载招标文件、施工图和财评预算清单。</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w:t>
      </w:r>
      <w:r>
        <w:rPr>
          <w:rFonts w:hint="eastAsia" w:asciiTheme="minorEastAsia" w:hAnsiTheme="minorEastAsia" w:cstheme="minorEastAsia"/>
          <w:sz w:val="28"/>
          <w:szCs w:val="28"/>
          <w:lang w:val="en-US" w:eastAsia="zh-CN"/>
        </w:rPr>
        <w:t>税务登记、</w:t>
      </w:r>
      <w:r>
        <w:rPr>
          <w:rFonts w:hint="eastAsia" w:asciiTheme="minorEastAsia" w:hAnsiTheme="minorEastAsia" w:cstheme="minorEastAsia"/>
          <w:sz w:val="28"/>
          <w:szCs w:val="28"/>
        </w:rPr>
        <w:t>资质证书、“信用中国”的查询报告、投标清单（以上复印件须加盖公章），投标文件递交的截止时间及开标时间为</w:t>
      </w:r>
      <w:r>
        <w:rPr>
          <w:rFonts w:hint="eastAsia" w:asciiTheme="minorEastAsia" w:hAnsiTheme="minorEastAsia" w:cstheme="minorEastAsia"/>
          <w:sz w:val="28"/>
          <w:szCs w:val="28"/>
          <w:highlight w:val="yellow"/>
          <w:u w:val="single"/>
          <w:lang w:val="en-US" w:eastAsia="zh-CN"/>
        </w:rPr>
        <w:t xml:space="preserve"> 2024 </w:t>
      </w:r>
      <w:r>
        <w:rPr>
          <w:rFonts w:hint="eastAsia" w:asciiTheme="minorEastAsia" w:hAnsiTheme="minorEastAsia" w:cstheme="minorEastAsia"/>
          <w:sz w:val="28"/>
          <w:szCs w:val="28"/>
          <w:highlight w:val="yellow"/>
        </w:rPr>
        <w:t>年</w:t>
      </w:r>
      <w:r>
        <w:rPr>
          <w:rFonts w:hint="eastAsia" w:asciiTheme="minorEastAsia" w:hAnsiTheme="minorEastAsia" w:cstheme="minorEastAsia"/>
          <w:sz w:val="28"/>
          <w:szCs w:val="28"/>
          <w:highlight w:val="yellow"/>
          <w:u w:val="single"/>
          <w:lang w:val="en-US" w:eastAsia="zh-CN"/>
        </w:rPr>
        <w:t xml:space="preserve"> 1 </w:t>
      </w:r>
      <w:r>
        <w:rPr>
          <w:rFonts w:hint="eastAsia" w:asciiTheme="minorEastAsia" w:hAnsiTheme="minorEastAsia" w:cstheme="minorEastAsia"/>
          <w:sz w:val="28"/>
          <w:szCs w:val="28"/>
          <w:highlight w:val="yellow"/>
        </w:rPr>
        <w:t>月</w:t>
      </w:r>
      <w:r>
        <w:rPr>
          <w:highlight w:val="yellow"/>
        </w:rPr>
        <w:commentReference w:id="0"/>
      </w:r>
      <w:r>
        <w:rPr>
          <w:rFonts w:hint="eastAsia" w:asciiTheme="minorEastAsia" w:hAnsiTheme="minorEastAsia" w:cstheme="minorEastAsia"/>
          <w:sz w:val="28"/>
          <w:szCs w:val="28"/>
          <w:highlight w:val="yellow"/>
          <w:u w:val="single"/>
          <w:lang w:val="en-US" w:eastAsia="zh-CN"/>
        </w:rPr>
        <w:t xml:space="preserve"> 5 </w:t>
      </w:r>
      <w:r>
        <w:rPr>
          <w:rFonts w:hint="eastAsia" w:asciiTheme="minorEastAsia" w:hAnsiTheme="minorEastAsia" w:cstheme="minorEastAsia"/>
          <w:sz w:val="28"/>
          <w:szCs w:val="28"/>
          <w:highlight w:val="yellow"/>
        </w:rPr>
        <w:t>日下午1</w:t>
      </w:r>
      <w:r>
        <w:rPr>
          <w:rFonts w:hint="eastAsia" w:asciiTheme="minorEastAsia" w:hAnsiTheme="minorEastAsia" w:cstheme="minorEastAsia"/>
          <w:sz w:val="28"/>
          <w:szCs w:val="28"/>
          <w:highlight w:val="yellow"/>
          <w:lang w:val="en-US" w:eastAsia="zh-CN"/>
        </w:rPr>
        <w:t>4</w:t>
      </w:r>
      <w:r>
        <w:rPr>
          <w:rFonts w:hint="eastAsia" w:asciiTheme="minorEastAsia" w:hAnsiTheme="minorEastAsia" w:cstheme="minorEastAsia"/>
          <w:sz w:val="28"/>
          <w:szCs w:val="28"/>
          <w:highlight w:val="yellow"/>
        </w:rPr>
        <w:t>时</w:t>
      </w:r>
      <w:r>
        <w:rPr>
          <w:rFonts w:hint="eastAsia" w:asciiTheme="minorEastAsia" w:hAnsiTheme="minorEastAsia" w:cstheme="minorEastAsia"/>
          <w:sz w:val="28"/>
          <w:szCs w:val="28"/>
          <w:highlight w:val="yellow"/>
          <w:lang w:val="en-US" w:eastAsia="zh-CN"/>
        </w:rPr>
        <w:t>0</w:t>
      </w:r>
      <w:r>
        <w:rPr>
          <w:rFonts w:hint="eastAsia" w:asciiTheme="minorEastAsia" w:hAnsiTheme="minorEastAsia" w:cstheme="minorEastAsia"/>
          <w:sz w:val="28"/>
          <w:szCs w:val="28"/>
          <w:highlight w:val="yellow"/>
        </w:rPr>
        <w:t>0分</w:t>
      </w:r>
      <w:r>
        <w:rPr>
          <w:rFonts w:hint="eastAsia" w:asciiTheme="minorEastAsia" w:hAnsiTheme="minorEastAsia" w:cstheme="minorEastAsia"/>
          <w:sz w:val="28"/>
          <w:szCs w:val="28"/>
        </w:rPr>
        <w:t>，开标地点为</w:t>
      </w:r>
      <w:r>
        <w:rPr>
          <w:rFonts w:hint="eastAsia" w:asciiTheme="minorEastAsia" w:hAnsiTheme="minorEastAsia" w:cstheme="minorEastAsia"/>
          <w:sz w:val="28"/>
          <w:szCs w:val="28"/>
          <w:lang w:val="en-US" w:eastAsia="zh-CN"/>
        </w:rPr>
        <w:t xml:space="preserve"> 观盛公司402</w:t>
      </w:r>
      <w:commentRangeStart w:id="1"/>
      <w:r>
        <w:rPr>
          <w:rFonts w:hint="eastAsia" w:asciiTheme="minorEastAsia" w:hAnsiTheme="minorEastAsia" w:cstheme="minorEastAsia"/>
          <w:sz w:val="28"/>
          <w:szCs w:val="28"/>
        </w:rPr>
        <w:t>会议室。</w:t>
      </w:r>
      <w:commentRangeEnd w:id="1"/>
      <w:r>
        <w:commentReference w:id="1"/>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w:t>
      </w:r>
      <w:r>
        <w:rPr>
          <w:rFonts w:hint="eastAsia" w:asciiTheme="minorEastAsia" w:hAnsiTheme="minorEastAsia" w:cstheme="minorEastAsia"/>
          <w:sz w:val="28"/>
          <w:szCs w:val="28"/>
          <w:lang w:val="en-US"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val="en-US" w:eastAsia="zh-CN"/>
        </w:rPr>
        <w:t>门</w:t>
      </w:r>
      <w:r>
        <w:rPr>
          <w:rFonts w:hint="eastAsia" w:asciiTheme="minorEastAsia" w:hAnsiTheme="minorEastAsia" w:cstheme="minorEastAsia"/>
          <w:sz w:val="28"/>
          <w:szCs w:val="28"/>
        </w:rPr>
        <w:t>进行监督。</w:t>
      </w:r>
    </w:p>
    <w:p>
      <w:pPr>
        <w:adjustRightInd w:val="0"/>
        <w:snapToGrid w:val="0"/>
        <w:spacing w:line="360" w:lineRule="auto"/>
        <w:rPr>
          <w:rFonts w:hint="eastAsia" w:asciiTheme="minorEastAsia" w:hAnsiTheme="minorEastAsia" w:cstheme="minorEastAsia"/>
          <w:b/>
          <w:bCs w:val="0"/>
          <w:sz w:val="28"/>
          <w:szCs w:val="28"/>
        </w:rPr>
      </w:pPr>
      <w:r>
        <w:rPr>
          <w:rFonts w:hint="eastAsia" w:asciiTheme="minorEastAsia" w:hAnsiTheme="minorEastAsia" w:cstheme="minorEastAsia"/>
          <w:b/>
          <w:sz w:val="28"/>
          <w:szCs w:val="28"/>
          <w:lang w:val="en-US" w:eastAsia="zh-CN"/>
        </w:rPr>
        <w:t>九、</w:t>
      </w:r>
      <w:r>
        <w:rPr>
          <w:rFonts w:hint="eastAsia" w:asciiTheme="minorEastAsia" w:hAnsiTheme="minorEastAsia" w:cstheme="minorEastAsia"/>
          <w:b/>
          <w:bCs w:val="0"/>
          <w:sz w:val="28"/>
          <w:szCs w:val="28"/>
        </w:rPr>
        <w:t>保密及串通行为</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比选小组成员以及与评审工作有关的人员不得泄露评审情况以及评审过程中获悉的</w:t>
      </w:r>
      <w:r>
        <w:rPr>
          <w:rFonts w:hint="eastAsia" w:asciiTheme="minorEastAsia" w:hAnsiTheme="minorEastAsia" w:cstheme="minorEastAsia"/>
          <w:sz w:val="28"/>
          <w:szCs w:val="28"/>
          <w:lang w:val="en-US" w:eastAsia="zh-CN"/>
        </w:rPr>
        <w:t>商业</w:t>
      </w:r>
      <w:r>
        <w:rPr>
          <w:rFonts w:hint="eastAsia" w:asciiTheme="minorEastAsia" w:hAnsiTheme="minorEastAsia" w:cstheme="minorEastAsia"/>
          <w:sz w:val="28"/>
          <w:szCs w:val="28"/>
        </w:rPr>
        <w:t>秘密</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包括但不限于经营信息、技术信息</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2、投标单位</w:t>
      </w:r>
      <w:r>
        <w:rPr>
          <w:rFonts w:hint="eastAsia" w:asciiTheme="minorEastAsia" w:hAnsiTheme="minorEastAsia" w:cstheme="minorEastAsia"/>
          <w:sz w:val="28"/>
          <w:szCs w:val="28"/>
        </w:rPr>
        <w:t>不得与</w:t>
      </w:r>
      <w:r>
        <w:rPr>
          <w:rFonts w:hint="eastAsia" w:asciiTheme="minorEastAsia" w:hAnsiTheme="minorEastAsia" w:cstheme="minorEastAsia"/>
          <w:kern w:val="2"/>
          <w:sz w:val="28"/>
          <w:szCs w:val="28"/>
          <w:lang w:val="en-US" w:eastAsia="zh-CN"/>
        </w:rPr>
        <w:t>招标</w:t>
      </w:r>
      <w:r>
        <w:rPr>
          <w:rFonts w:hint="eastAsia" w:asciiTheme="minorEastAsia" w:hAnsiTheme="minorEastAsia" w:cstheme="minorEastAsia"/>
          <w:kern w:val="2"/>
          <w:sz w:val="28"/>
          <w:szCs w:val="28"/>
        </w:rPr>
        <w:t>人、</w:t>
      </w:r>
      <w:r>
        <w:rPr>
          <w:rFonts w:hint="eastAsia" w:asciiTheme="minorEastAsia" w:hAnsiTheme="minorEastAsia" w:cstheme="minorEastAsia"/>
          <w:kern w:val="2"/>
          <w:sz w:val="28"/>
          <w:szCs w:val="28"/>
          <w:lang w:val="en-US" w:eastAsia="zh-CN"/>
        </w:rPr>
        <w:t>招标</w:t>
      </w:r>
      <w:r>
        <w:rPr>
          <w:rFonts w:hint="eastAsia" w:asciiTheme="minorEastAsia" w:hAnsiTheme="minorEastAsia" w:cstheme="minorEastAsia"/>
          <w:kern w:val="2"/>
          <w:sz w:val="28"/>
          <w:szCs w:val="28"/>
        </w:rPr>
        <w:t>代理机构、其他</w:t>
      </w:r>
      <w:r>
        <w:rPr>
          <w:rFonts w:hint="eastAsia" w:asciiTheme="minorEastAsia" w:hAnsiTheme="minorEastAsia" w:cstheme="minorEastAsia"/>
          <w:kern w:val="2"/>
          <w:sz w:val="28"/>
          <w:szCs w:val="28"/>
          <w:lang w:val="en-US" w:eastAsia="zh-CN"/>
        </w:rPr>
        <w:t>投标人</w:t>
      </w:r>
      <w:r>
        <w:rPr>
          <w:rFonts w:hint="eastAsia" w:asciiTheme="minorEastAsia" w:hAnsiTheme="minorEastAsia" w:cstheme="minorEastAsia"/>
          <w:kern w:val="2"/>
          <w:sz w:val="28"/>
          <w:szCs w:val="28"/>
        </w:rPr>
        <w:t>恶意</w:t>
      </w:r>
      <w:r>
        <w:rPr>
          <w:rFonts w:hint="eastAsia" w:asciiTheme="minorEastAsia" w:hAnsiTheme="minorEastAsia" w:cstheme="minorEastAsia"/>
          <w:sz w:val="28"/>
          <w:szCs w:val="28"/>
        </w:rPr>
        <w:t>串通；不得向</w:t>
      </w:r>
      <w:r>
        <w:rPr>
          <w:rFonts w:hint="eastAsia" w:asciiTheme="minorEastAsia" w:hAnsiTheme="minorEastAsia" w:cstheme="minorEastAsia"/>
          <w:kern w:val="2"/>
          <w:sz w:val="28"/>
          <w:szCs w:val="28"/>
          <w:lang w:val="en-US" w:eastAsia="zh-CN"/>
        </w:rPr>
        <w:t>招标</w:t>
      </w:r>
      <w:r>
        <w:rPr>
          <w:rFonts w:hint="eastAsia" w:asciiTheme="minorEastAsia" w:hAnsiTheme="minorEastAsia" w:cstheme="minorEastAsia"/>
          <w:kern w:val="2"/>
          <w:sz w:val="28"/>
          <w:szCs w:val="28"/>
        </w:rPr>
        <w:t>人、</w:t>
      </w:r>
      <w:r>
        <w:rPr>
          <w:rFonts w:hint="eastAsia" w:asciiTheme="minorEastAsia" w:hAnsiTheme="minorEastAsia" w:cstheme="minorEastAsia"/>
          <w:kern w:val="2"/>
          <w:sz w:val="28"/>
          <w:szCs w:val="28"/>
          <w:lang w:val="en-US" w:eastAsia="zh-CN"/>
        </w:rPr>
        <w:t>招标</w:t>
      </w:r>
      <w:r>
        <w:rPr>
          <w:rFonts w:hint="eastAsia" w:asciiTheme="minorEastAsia" w:hAnsiTheme="minorEastAsia" w:cstheme="minorEastAsia"/>
          <w:kern w:val="2"/>
          <w:sz w:val="28"/>
          <w:szCs w:val="28"/>
        </w:rPr>
        <w:t>代理机构</w:t>
      </w:r>
      <w:r>
        <w:rPr>
          <w:rFonts w:hint="eastAsia" w:asciiTheme="minorEastAsia" w:hAnsiTheme="minorEastAsia" w:cstheme="minorEastAsia"/>
          <w:sz w:val="28"/>
          <w:szCs w:val="28"/>
        </w:rPr>
        <w:t>或者比选小组成员行贿或者提供其他不正当利益；不得提供虚假资料谋取成交；不得以任何方式干扰、影响</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工作。</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zh-CN"/>
        </w:rPr>
        <w:t>有下列情形之一的，属于恶意串通，对</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依照采购法第七十七条第一款的规定追究法律责任：</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直接或者间接从采购人或者采购代理机构处获得其他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的相关情况并修改其投标文件或者响应文件；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按照采购人或者采购代理机构的授意撤换、修改投标文件或者响应文件；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之间协商报价、技术方案等投标文件或者响应文件的实质性内容；</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rPr>
        <w:t>）属于同一集团、协会、商会等组织成员的</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按照该组织要求协同参加采购活动；</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之间事先约定由某一特定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之间商定部分</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放弃参加采购活动或者放弃中标、成交；</w:t>
      </w:r>
    </w:p>
    <w:p>
      <w:pPr>
        <w:spacing w:line="240" w:lineRule="auto"/>
        <w:ind w:firstLine="560" w:firstLineChars="0"/>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与采购人或者采购代理机构之间、</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相互之间，为谋求特定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中标、成交或者排斥其他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的其他串通行为。</w:t>
      </w:r>
    </w:p>
    <w:p>
      <w:pPr>
        <w:pStyle w:val="3"/>
        <w:numPr>
          <w:ilvl w:val="-1"/>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十、</w:t>
      </w: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3"/>
        <w:numPr>
          <w:ilvl w:val="-1"/>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十一、</w:t>
      </w:r>
      <w:r>
        <w:rPr>
          <w:rFonts w:hint="eastAsia" w:asciiTheme="minorEastAsia" w:hAnsiTheme="minorEastAsia" w:cstheme="minorEastAsia"/>
          <w:b/>
          <w:sz w:val="28"/>
          <w:szCs w:val="28"/>
        </w:rPr>
        <w:t>联系方式</w:t>
      </w:r>
    </w:p>
    <w:p>
      <w:pPr>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w:t>
      </w:r>
      <w:r>
        <w:rPr>
          <w:rFonts w:hint="eastAsia" w:asciiTheme="minorEastAsia" w:hAnsiTheme="minorEastAsia" w:cstheme="minorEastAsia"/>
          <w:b w:val="0"/>
          <w:bCs w:val="0"/>
          <w:sz w:val="28"/>
          <w:szCs w:val="28"/>
          <w:lang w:val="en-US" w:eastAsia="zh-CN"/>
        </w:rPr>
        <w:t>育盛教育投资</w:t>
      </w:r>
      <w:r>
        <w:rPr>
          <w:rFonts w:hint="eastAsia" w:asciiTheme="minorEastAsia" w:hAnsiTheme="minorEastAsia" w:cstheme="minorEastAsia"/>
          <w:b w:val="0"/>
          <w:bCs w:val="0"/>
          <w:sz w:val="28"/>
          <w:szCs w:val="28"/>
          <w:lang w:eastAsia="zh-CN"/>
        </w:rPr>
        <w:t>有限公司</w:t>
      </w:r>
    </w:p>
    <w:p>
      <w:pPr>
        <w:pStyle w:val="3"/>
        <w:adjustRightInd w:val="0"/>
        <w:snapToGrid w:val="0"/>
        <w:spacing w:line="360" w:lineRule="auto"/>
        <w:rPr>
          <w:rFonts w:hint="eastAsia"/>
          <w:sz w:val="28"/>
          <w:szCs w:val="28"/>
          <w:lang w:eastAsia="zh-CN"/>
        </w:rPr>
      </w:pPr>
      <w:r>
        <w:rPr>
          <w:rFonts w:hint="eastAsia" w:asciiTheme="minorEastAsia" w:hAnsiTheme="minorEastAsia" w:cstheme="minorEastAsia"/>
          <w:sz w:val="28"/>
          <w:szCs w:val="28"/>
        </w:rPr>
        <w:t xml:space="preserve">地    址： </w:t>
      </w:r>
      <w:r>
        <w:rPr>
          <w:rFonts w:hint="eastAsia"/>
          <w:sz w:val="28"/>
          <w:szCs w:val="28"/>
          <w:lang w:eastAsia="zh-CN"/>
        </w:rPr>
        <w:t>云溪区云港路辅路与松树垄路交汇处（维也纳酒店正对面</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lang w:val="en-US" w:eastAsia="zh-CN"/>
        </w:rPr>
        <w:t xml:space="preserve">  任沛东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lang w:val="en-US" w:eastAsia="zh-CN"/>
        </w:rPr>
        <w:t xml:space="preserve"> 18207307715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lang w:val="en-US" w:eastAsia="zh-CN"/>
        </w:rPr>
        <w:t xml:space="preserve"> 949065551  </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6728"/>
      <w:bookmarkStart w:id="1" w:name="_Toc1533"/>
      <w:bookmarkStart w:id="2" w:name="_Toc5650"/>
    </w:p>
    <w:p>
      <w:pPr>
        <w:pStyle w:val="2"/>
        <w:ind w:firstLine="0" w:firstLineChars="0"/>
        <w:rPr>
          <w:rFonts w:hint="eastAsia" w:asciiTheme="minorEastAsia" w:hAnsiTheme="minorEastAsia" w:cstheme="minorEastAsia"/>
          <w:b/>
          <w:sz w:val="36"/>
          <w:szCs w:val="36"/>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commentRangeStart w:id="2"/>
            <w:r>
              <w:rPr>
                <w:rFonts w:hint="eastAsia" w:asciiTheme="minorEastAsia" w:hAnsiTheme="minorEastAsia" w:cstheme="minorEastAsia"/>
                <w:szCs w:val="21"/>
              </w:rPr>
              <w:t>踏勘现场</w:t>
            </w:r>
            <w:commentRangeEnd w:id="2"/>
            <w:r>
              <w:commentReference w:id="2"/>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不允许</w:t>
            </w:r>
            <w:r>
              <w:rPr>
                <w:rFonts w:hint="eastAsia" w:asciiTheme="minorEastAsia" w:hAnsiTheme="minorEastAsia" w:cs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commentRangeStart w:id="3"/>
            <w:r>
              <w:rPr>
                <w:rFonts w:hint="eastAsia" w:asciiTheme="minorEastAsia" w:hAnsiTheme="minorEastAsia" w:cstheme="minorEastAsia"/>
                <w:szCs w:val="21"/>
                <w:u w:val="single"/>
              </w:rPr>
              <w:t>20</w:t>
            </w:r>
            <w:r>
              <w:rPr>
                <w:rFonts w:hint="eastAsia" w:asciiTheme="minorEastAsia" w:hAnsiTheme="minorEastAsia" w:cstheme="minorEastAsia"/>
                <w:szCs w:val="21"/>
                <w:u w:val="single"/>
                <w:lang w:val="en-US" w:eastAsia="zh-CN"/>
              </w:rPr>
              <w:t>24</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日</w:t>
            </w:r>
            <w:r>
              <w:rPr>
                <w:rFonts w:hint="eastAsia" w:asciiTheme="minorEastAsia" w:hAnsiTheme="minorEastAsia" w:cstheme="minorEastAsia"/>
                <w:szCs w:val="21"/>
                <w:u w:val="single"/>
                <w:lang w:val="en-US" w:eastAsia="zh-CN"/>
              </w:rPr>
              <w:t>8</w:t>
            </w:r>
            <w:r>
              <w:rPr>
                <w:rFonts w:hint="eastAsia" w:asciiTheme="minorEastAsia" w:hAnsiTheme="minorEastAsia" w:cstheme="minorEastAsia"/>
                <w:szCs w:val="21"/>
                <w:u w:val="single"/>
              </w:rPr>
              <w:t>时00分</w:t>
            </w:r>
            <w:r>
              <w:rPr>
                <w:rFonts w:hint="eastAsia" w:asciiTheme="minorEastAsia" w:hAnsiTheme="minorEastAsia" w:cstheme="minorEastAsia"/>
                <w:szCs w:val="21"/>
              </w:rPr>
              <w:t xml:space="preserve"> </w:t>
            </w:r>
            <w:commentRangeEnd w:id="3"/>
            <w:r>
              <w:commentReference w:id="3"/>
            </w:r>
            <w:r>
              <w:rPr>
                <w:rFonts w:hint="eastAsia" w:asciiTheme="minorEastAsia" w:hAnsiTheme="minorEastAsia" w:cstheme="minorEastAsia"/>
                <w:szCs w:val="21"/>
              </w:rPr>
              <w:t>。</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w:t>
            </w:r>
            <w:commentRangeStart w:id="4"/>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5  </w:t>
            </w:r>
            <w:r>
              <w:rPr>
                <w:rFonts w:hint="eastAsia" w:asciiTheme="minorEastAsia" w:hAnsiTheme="minorEastAsia" w:cstheme="minorEastAsia"/>
                <w:szCs w:val="21"/>
              </w:rPr>
              <w:t>日14时00分</w:t>
            </w:r>
            <w:r>
              <w:rPr>
                <w:rFonts w:hint="eastAsia" w:asciiTheme="minorEastAsia" w:hAnsiTheme="minorEastAsia" w:cstheme="minorEastAsia"/>
                <w:szCs w:val="21"/>
                <w:lang w:eastAsia="zh-CN"/>
              </w:rPr>
              <w:t>。</w:t>
            </w:r>
            <w:commentRangeEnd w:id="4"/>
            <w:r>
              <w:commentReference w:id="4"/>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r>
              <w:rPr>
                <w:rFonts w:hint="eastAsia" w:asciiTheme="minorEastAsia" w:hAnsiTheme="minorEastAsia" w:cstheme="minorEastAsia"/>
                <w:szCs w:val="21"/>
                <w:lang w:val="en-US" w:eastAsia="zh-CN"/>
              </w:rPr>
              <w:t>观盛公</w:t>
            </w:r>
            <w:r>
              <w:rPr>
                <w:rFonts w:hint="eastAsia" w:asciiTheme="minorEastAsia" w:hAnsiTheme="minorEastAsia" w:cstheme="minorEastAsia"/>
                <w:szCs w:val="21"/>
              </w:rPr>
              <w:t>司</w:t>
            </w:r>
            <w:commentRangeStart w:id="5"/>
            <w:r>
              <w:rPr>
                <w:rFonts w:hint="eastAsia" w:asciiTheme="minorEastAsia" w:hAnsiTheme="minorEastAsia" w:cstheme="minorEastAsia"/>
                <w:szCs w:val="21"/>
                <w:lang w:val="en-US" w:eastAsia="zh-CN"/>
              </w:rPr>
              <w:t>4</w:t>
            </w:r>
            <w:commentRangeEnd w:id="5"/>
            <w:r>
              <w:commentReference w:id="5"/>
            </w:r>
            <w:r>
              <w:rPr>
                <w:rFonts w:hint="eastAsia" w:asciiTheme="minorEastAsia" w:hAnsiTheme="minorEastAsia" w:cstheme="minorEastAsia"/>
                <w:szCs w:val="21"/>
                <w:lang w:val="en-US" w:eastAsia="zh-CN"/>
              </w:rPr>
              <w:t>02</w:t>
            </w:r>
            <w:r>
              <w:rPr>
                <w:rFonts w:hint="eastAsia" w:asciiTheme="minorEastAsia" w:hAnsiTheme="minorEastAsia" w:cstheme="minorEastAsia"/>
                <w:szCs w:val="21"/>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暂无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20"/>
              <w:spacing w:line="320" w:lineRule="exact"/>
              <w:rPr>
                <w:rFonts w:asciiTheme="minorEastAsia" w:hAnsiTheme="minorEastAsia" w:cstheme="minorEastAsia"/>
                <w:strike/>
                <w:color w:val="FF0000"/>
              </w:rPr>
            </w:pPr>
            <w:r>
              <w:rPr>
                <w:rFonts w:hint="eastAsia"/>
                <w:lang w:val="en-US" w:eastAsia="zh-CN"/>
              </w:rPr>
              <w:t>总价报价最低者确定为中标单位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ind w:firstLine="210" w:firstLineChars="100"/>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18</w:t>
            </w:r>
          </w:p>
        </w:tc>
        <w:tc>
          <w:tcPr>
            <w:tcW w:w="1770" w:type="dxa"/>
            <w:noWrap/>
            <w:vAlign w:val="center"/>
          </w:tcPr>
          <w:p>
            <w:pPr>
              <w:widowControl/>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中标公示时间</w:t>
            </w:r>
          </w:p>
        </w:tc>
        <w:tc>
          <w:tcPr>
            <w:tcW w:w="6096" w:type="dxa"/>
            <w:noWrap/>
            <w:vAlign w:val="center"/>
          </w:tcPr>
          <w:p>
            <w:pPr>
              <w:ind w:left="0" w:leftChars="0" w:firstLine="0" w:firstLineChars="0"/>
              <w:rPr>
                <w:rFonts w:hint="eastAsia"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pStyle w:val="2"/>
        <w:ind w:firstLine="0" w:firstLineChars="0"/>
      </w:pPr>
    </w:p>
    <w:p>
      <w:pPr>
        <w:spacing w:line="48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lang w:eastAsia="zh-CN"/>
        </w:rPr>
        <w:t>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议</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签</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到</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表</w:t>
      </w:r>
    </w:p>
    <w:tbl>
      <w:tblPr>
        <w:tblStyle w:val="13"/>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会议主题</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u w:val="single"/>
                <w:vertAlign w:val="baseline"/>
                <w:lang w:val="en-US" w:eastAsia="zh-CN"/>
              </w:rPr>
              <w:t xml:space="preserve">                     </w:t>
            </w:r>
            <w:r>
              <w:rPr>
                <w:rFonts w:hint="eastAsia" w:ascii="仿宋_GB2312" w:hAnsi="仿宋_GB2312" w:eastAsia="仿宋_GB2312" w:cs="仿宋_GB2312"/>
                <w:sz w:val="32"/>
                <w:szCs w:val="32"/>
                <w:vertAlign w:val="baseline"/>
                <w:lang w:val="en-US" w:eastAsia="zh-CN"/>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会议时间</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会议地点</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会议主持</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单位名称</w:t>
            </w:r>
          </w:p>
        </w:tc>
        <w:tc>
          <w:tcPr>
            <w:tcW w:w="4670"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签</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11</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12</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13</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14</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headerReference r:id="rId5"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lang w:val="en-US" w:eastAsia="zh-CN"/>
        </w:rPr>
        <w:t xml:space="preserve"> </w:t>
      </w:r>
      <w:r>
        <w:rPr>
          <w:rFonts w:hint="eastAsia" w:asciiTheme="minorEastAsia" w:hAnsiTheme="minorEastAsia" w:cstheme="minorEastAsia"/>
          <w:b/>
          <w:bCs/>
          <w:sz w:val="40"/>
          <w:szCs w:val="40"/>
          <w:u w:val="single"/>
          <w:lang w:val="en-US" w:eastAsia="zh-CN"/>
        </w:rPr>
        <w:t xml:space="preserve">               </w:t>
      </w:r>
      <w:r>
        <w:rPr>
          <w:rFonts w:hint="eastAsia" w:asciiTheme="minorEastAsia" w:hAnsiTheme="minorEastAsia" w:cstheme="minorEastAsia"/>
          <w:b/>
          <w:bCs/>
          <w:sz w:val="40"/>
          <w:szCs w:val="40"/>
        </w:rPr>
        <w:t>工程项目</w:t>
      </w:r>
    </w:p>
    <w:p>
      <w:pPr>
        <w:pStyle w:val="4"/>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12"/>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3"/>
        <w:tabs>
          <w:tab w:val="left" w:pos="1439"/>
          <w:tab w:val="left" w:pos="2879"/>
          <w:tab w:val="left" w:pos="4319"/>
          <w:tab w:val="left" w:pos="5759"/>
        </w:tabs>
        <w:kinsoku w:val="0"/>
        <w:overflowPunct w:val="0"/>
        <w:spacing w:before="0" w:line="903" w:lineRule="exact"/>
        <w:ind w:left="0" w:right="539"/>
        <w:jc w:val="center"/>
        <w:rPr>
          <w:rFonts w:hint="default"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w:t>
      </w:r>
      <w:r>
        <w:rPr>
          <w:rFonts w:hint="eastAsia" w:ascii="楷体" w:hAnsi="楷体" w:eastAsia="楷体"/>
          <w:sz w:val="28"/>
          <w:lang w:val="en-US" w:eastAsia="zh-CN"/>
        </w:rPr>
        <w:t>YYYS</w:t>
      </w:r>
      <w:r>
        <w:rPr>
          <w:rFonts w:hint="eastAsia" w:ascii="楷体" w:hAnsi="楷体" w:eastAsia="楷体"/>
          <w:sz w:val="28"/>
        </w:rPr>
        <w:t>202</w:t>
      </w:r>
      <w:r>
        <w:rPr>
          <w:rFonts w:hint="eastAsia" w:ascii="楷体" w:hAnsi="楷体" w:eastAsia="楷体"/>
          <w:sz w:val="28"/>
          <w:lang w:val="en-US" w:eastAsia="zh-CN"/>
        </w:rPr>
        <w:t>4</w:t>
      </w:r>
      <w:r>
        <w:rPr>
          <w:rFonts w:hint="eastAsia" w:ascii="楷体" w:hAnsi="楷体" w:eastAsia="楷体"/>
          <w:sz w:val="28"/>
        </w:rPr>
        <w:t xml:space="preserve">-   </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1" name="任意多边形 1"/>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GxZLWAAAACQEAAA8A&#10;AAAAAAAAAQAgAAAAIgAAAGRycy9kb3ducmV2LnhtbFBLAQIUABQAAAAIAIdO4kCiL4evUgIAANwE&#10;AAAOAAAAAAAAAAEAIAAAACUBAABkcnMvZTJvRG9jLnhtbFBLBQYAAAAABgAGAFkBAADpBQ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rPr>
        <w:t>项目名称：</w:t>
      </w:r>
      <w:r>
        <w:rPr>
          <w:rFonts w:hint="eastAsia" w:ascii="楷体" w:hAnsi="楷体" w:eastAsia="楷体"/>
          <w:sz w:val="28"/>
          <w:u w:val="single"/>
          <w:lang w:val="en-US" w:eastAsia="zh-CN"/>
        </w:rPr>
        <w:t xml:space="preserve">              </w:t>
      </w:r>
      <w:r>
        <w:rPr>
          <w:rFonts w:hint="eastAsia" w:ascii="楷体" w:hAnsi="楷体" w:eastAsia="楷体"/>
          <w:sz w:val="28"/>
        </w:rPr>
        <w:t>项目</w:t>
      </w:r>
    </w:p>
    <w:p>
      <w:pPr>
        <w:rPr>
          <w:rFonts w:ascii="仿宋" w:hAnsi="仿宋" w:eastAsia="仿宋" w:cs="仿宋"/>
          <w:b/>
          <w:bCs/>
          <w:sz w:val="28"/>
        </w:rPr>
      </w:pPr>
      <w:r>
        <w:rPr>
          <w:rFonts w:hint="eastAsia" w:ascii="仿宋" w:hAnsi="仿宋" w:eastAsia="仿宋" w:cs="仿宋"/>
          <w:b/>
          <w:bCs/>
          <w:sz w:val="28"/>
          <w:lang w:val="en-US" w:eastAsia="zh-CN"/>
        </w:rPr>
        <w:t>XXXXX</w:t>
      </w:r>
      <w:r>
        <w:rPr>
          <w:rFonts w:hint="eastAsia" w:ascii="仿宋" w:hAnsi="仿宋" w:eastAsia="仿宋" w:cs="仿宋"/>
          <w:b/>
          <w:bCs/>
          <w:sz w:val="28"/>
        </w:rPr>
        <w:t>有限公司：</w:t>
      </w:r>
    </w:p>
    <w:p>
      <w:pPr>
        <w:ind w:firstLine="560" w:firstLineChars="200"/>
        <w:rPr>
          <w:rFonts w:ascii="仿宋" w:hAnsi="仿宋" w:eastAsia="仿宋" w:cs="仿宋"/>
          <w:sz w:val="28"/>
        </w:rPr>
      </w:pPr>
      <w:r>
        <w:rPr>
          <w:rFonts w:hint="eastAsia" w:ascii="仿宋" w:hAnsi="仿宋" w:eastAsia="仿宋" w:cs="仿宋"/>
          <w:sz w:val="28"/>
          <w:u w:val="single"/>
          <w:lang w:val="en-US" w:eastAsia="zh-CN"/>
        </w:rPr>
        <w:t xml:space="preserve">          </w:t>
      </w: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日开标，经我司及有效投标人现场监督，确定贵单位为中标人。</w:t>
      </w:r>
    </w:p>
    <w:p>
      <w:pPr>
        <w:jc w:val="left"/>
        <w:rPr>
          <w:rFonts w:hint="default" w:ascii="仿宋" w:hAnsi="仿宋" w:eastAsia="仿宋" w:cs="仿宋"/>
          <w:b/>
          <w:sz w:val="28"/>
        </w:rPr>
      </w:pPr>
      <w:r>
        <w:rPr>
          <w:rFonts w:hint="eastAsia" w:ascii="仿宋" w:hAnsi="仿宋" w:eastAsia="仿宋" w:cs="仿宋"/>
          <w:b/>
          <w:sz w:val="28"/>
        </w:rPr>
        <w:t>中标范围：</w:t>
      </w:r>
    </w:p>
    <w:p>
      <w:pPr>
        <w:ind w:left="838" w:leftChars="399" w:firstLine="14" w:firstLineChars="5"/>
        <w:jc w:val="left"/>
        <w:rPr>
          <w:rFonts w:ascii="仿宋" w:hAnsi="仿宋" w:eastAsia="仿宋" w:cs="仿宋"/>
          <w:kern w:val="0"/>
          <w:sz w:val="28"/>
        </w:rPr>
      </w:pP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等</w:t>
      </w:r>
      <w:r>
        <w:rPr>
          <w:rFonts w:hint="eastAsia" w:ascii="仿宋" w:hAnsi="仿宋" w:eastAsia="仿宋" w:cs="仿宋"/>
          <w:kern w:val="0"/>
          <w:sz w:val="28"/>
          <w:lang w:val="en-US" w:eastAsia="zh-CN"/>
        </w:rPr>
        <w:t xml:space="preserve"> </w:t>
      </w:r>
      <w:r>
        <w:rPr>
          <w:rFonts w:hint="eastAsia" w:ascii="仿宋" w:hAnsi="仿宋" w:eastAsia="仿宋" w:cs="仿宋"/>
          <w:kern w:val="0"/>
          <w:sz w:val="28"/>
        </w:rPr>
        <w:t>。</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天（日历天）。</w:t>
      </w:r>
    </w:p>
    <w:p>
      <w:pPr>
        <w:pStyle w:val="3"/>
        <w:kinsoku w:val="0"/>
        <w:overflowPunct w:val="0"/>
        <w:spacing w:line="360" w:lineRule="auto"/>
        <w:ind w:left="0"/>
        <w:rPr>
          <w:rFonts w:hint="default" w:ascii="仿宋" w:hAnsi="仿宋" w:eastAsia="仿宋" w:cs="仿宋"/>
          <w:kern w:val="0"/>
        </w:rPr>
      </w:pPr>
      <w:r>
        <w:rPr>
          <w:rFonts w:hint="eastAsia" w:ascii="仿宋" w:hAnsi="仿宋" w:eastAsia="仿宋" w:cs="仿宋"/>
          <w:b/>
          <w:kern w:val="2"/>
          <w:sz w:val="28"/>
          <w:szCs w:val="22"/>
          <w:lang w:val="en-US" w:eastAsia="zh-CN" w:bidi="ar-SA"/>
        </w:rPr>
        <w:t>质量标准：</w:t>
      </w:r>
      <w:r>
        <w:rPr>
          <w:rFonts w:hint="eastAsia" w:ascii="仿宋" w:hAnsi="仿宋" w:eastAsia="仿宋" w:cs="仿宋"/>
          <w:kern w:val="0"/>
          <w:sz w:val="28"/>
          <w:szCs w:val="22"/>
          <w:lang w:val="en-US" w:eastAsia="zh-CN" w:bidi="ar-SA"/>
        </w:rPr>
        <w:t>达到现行国家有关工程施工验收规范和标准的合格要求。</w:t>
      </w:r>
    </w:p>
    <w:p>
      <w:pPr>
        <w:spacing w:line="360" w:lineRule="auto"/>
        <w:ind w:firstLine="560" w:firstLineChars="200"/>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hint="eastAsia" w:ascii="仿宋" w:hAnsi="仿宋" w:eastAsia="仿宋" w:cs="仿宋"/>
          <w:b/>
          <w:kern w:val="0"/>
          <w:sz w:val="28"/>
          <w:lang w:eastAsia="zh-CN"/>
        </w:rPr>
      </w:pPr>
      <w:r>
        <w:rPr>
          <w:rFonts w:hint="eastAsia" w:ascii="仿宋" w:hAnsi="仿宋" w:eastAsia="仿宋" w:cs="仿宋"/>
          <w:b/>
          <w:kern w:val="0"/>
          <w:sz w:val="28"/>
        </w:rPr>
        <w:t xml:space="preserve">                    招标人：</w:t>
      </w:r>
      <w:r>
        <w:rPr>
          <w:rFonts w:hint="eastAsia" w:ascii="仿宋" w:hAnsi="仿宋" w:eastAsia="仿宋" w:cs="仿宋"/>
          <w:b/>
          <w:kern w:val="0"/>
          <w:sz w:val="28"/>
          <w:lang w:val="en-US" w:eastAsia="zh-CN"/>
        </w:rPr>
        <w:t>岳阳育盛教育投资有限公</w:t>
      </w:r>
      <w:r>
        <w:rPr>
          <w:rFonts w:hint="eastAsia" w:ascii="仿宋" w:hAnsi="仿宋" w:eastAsia="仿宋" w:cs="仿宋"/>
          <w:b/>
          <w:kern w:val="0"/>
          <w:sz w:val="28"/>
          <w:lang w:eastAsia="zh-CN"/>
        </w:rPr>
        <w:t>司</w:t>
      </w:r>
    </w:p>
    <w:p>
      <w:pPr>
        <w:adjustRightInd w:val="0"/>
        <w:snapToGrid w:val="0"/>
        <w:spacing w:line="360" w:lineRule="auto"/>
      </w:pPr>
      <w:r>
        <w:rPr>
          <w:rFonts w:ascii="仿宋" w:hAnsi="仿宋" w:eastAsia="仿宋" w:cs="仿宋"/>
          <w:b/>
          <w:kern w:val="0"/>
          <w:sz w:val="28"/>
        </w:rPr>
        <w:t xml:space="preserve">    </w:t>
      </w:r>
      <w:r>
        <w:rPr>
          <w:rFonts w:hint="eastAsia" w:ascii="仿宋" w:hAnsi="仿宋" w:eastAsia="仿宋" w:cs="仿宋"/>
          <w:b/>
          <w:kern w:val="0"/>
          <w:sz w:val="28"/>
        </w:rPr>
        <w:t xml:space="preserve">                              </w:t>
      </w: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p>
      <w:pPr>
        <w:pStyle w:val="2"/>
        <w:ind w:firstLine="0" w:firstLineChars="0"/>
      </w:pPr>
    </w:p>
    <w:p>
      <w:pPr>
        <w:pStyle w:val="2"/>
        <w:ind w:firstLine="0" w:firstLineChars="0"/>
      </w:pPr>
    </w:p>
    <w:p>
      <w:pPr>
        <w:pStyle w:val="2"/>
        <w:ind w:firstLine="0" w:firstLineChars="0"/>
      </w:pPr>
    </w:p>
    <w:p>
      <w:pPr>
        <w:pStyle w:val="2"/>
        <w:ind w:firstLine="0" w:firstLineChars="0"/>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Knight" w:date="2022-05-13T09:51:43Z" w:initials="">
    <w:p w14:paraId="061D5775">
      <w:pPr>
        <w:pStyle w:val="7"/>
        <w:rPr>
          <w:rFonts w:hint="default" w:eastAsiaTheme="minorEastAsia"/>
          <w:lang w:val="en-US" w:eastAsia="zh-CN"/>
        </w:rPr>
      </w:pPr>
      <w:r>
        <w:rPr>
          <w:rFonts w:hint="eastAsia"/>
          <w:lang w:val="en-US" w:eastAsia="zh-CN"/>
        </w:rPr>
        <w:t>开标时间</w:t>
      </w:r>
    </w:p>
  </w:comment>
  <w:comment w:id="1" w:author="永胜" w:date="2023-12-28T10:28:47Z" w:initials="">
    <w:p w14:paraId="0D2A3F69">
      <w:pPr>
        <w:pStyle w:val="7"/>
        <w:rPr>
          <w:rFonts w:hint="default" w:eastAsiaTheme="minorEastAsia"/>
          <w:lang w:val="en-US" w:eastAsia="zh-CN"/>
        </w:rPr>
      </w:pPr>
      <w:r>
        <w:rPr>
          <w:rFonts w:hint="eastAsia"/>
          <w:lang w:val="en-US" w:eastAsia="zh-CN"/>
        </w:rPr>
        <w:t>开标地点请务必明确。</w:t>
      </w:r>
    </w:p>
  </w:comment>
  <w:comment w:id="2" w:author="永胜" w:date="2023-12-28T10:41:24Z" w:initials="">
    <w:p w14:paraId="22E01AA7">
      <w:pPr>
        <w:spacing w:line="700" w:lineRule="exact"/>
        <w:jc w:val="center"/>
        <w:outlineLvl w:val="0"/>
        <w:rPr>
          <w:rFonts w:hint="default" w:eastAsiaTheme="minorEastAsia"/>
          <w:lang w:val="en-US" w:eastAsia="zh-CN"/>
        </w:rPr>
      </w:pPr>
      <w:r>
        <w:rPr>
          <w:rFonts w:hint="eastAsia"/>
          <w:lang w:val="en-US" w:eastAsia="zh-CN"/>
        </w:rPr>
        <w:t>将踏勘现场与</w:t>
      </w:r>
      <w:r>
        <w:rPr>
          <w:rFonts w:hint="eastAsia" w:asciiTheme="minorEastAsia" w:hAnsiTheme="minorEastAsia" w:cstheme="minorEastAsia"/>
          <w:b w:val="0"/>
          <w:bCs w:val="0"/>
          <w:spacing w:val="-20"/>
          <w:sz w:val="40"/>
          <w:szCs w:val="40"/>
          <w:u w:val="single"/>
          <w:lang w:val="en-US" w:eastAsia="zh-CN"/>
        </w:rPr>
        <w:t>岩土工程初步勘察区分开，避免产生误解。</w:t>
      </w:r>
    </w:p>
  </w:comment>
  <w:comment w:id="3" w:author="Knight" w:date="2022-05-13T09:54:12Z" w:initials="">
    <w:p w14:paraId="64F37958">
      <w:pPr>
        <w:pStyle w:val="7"/>
        <w:rPr>
          <w:rFonts w:hint="default" w:eastAsiaTheme="minorEastAsia"/>
          <w:lang w:val="en-US" w:eastAsia="zh-CN"/>
        </w:rPr>
      </w:pPr>
      <w:r>
        <w:rPr>
          <w:rFonts w:hint="eastAsia"/>
          <w:lang w:val="en-US" w:eastAsia="zh-CN"/>
        </w:rPr>
        <w:t>开标截止时间前三天</w:t>
      </w:r>
    </w:p>
  </w:comment>
  <w:comment w:id="4" w:author="永胜" w:date="2023-12-28T10:34:06Z" w:initials="">
    <w:p w14:paraId="563D5FCB">
      <w:pPr>
        <w:pStyle w:val="7"/>
        <w:rPr>
          <w:rFonts w:hint="default" w:eastAsiaTheme="minorEastAsia"/>
          <w:lang w:val="en-US" w:eastAsia="zh-CN"/>
        </w:rPr>
      </w:pPr>
      <w:r>
        <w:rPr>
          <w:rFonts w:hint="eastAsia"/>
          <w:lang w:val="en-US" w:eastAsia="zh-CN"/>
        </w:rPr>
        <w:t>请确认投标截止时间</w:t>
      </w:r>
    </w:p>
  </w:comment>
  <w:comment w:id="5" w:author="永胜" w:date="2023-12-28T10:34:52Z" w:initials="">
    <w:p w14:paraId="64151E27">
      <w:pPr>
        <w:pStyle w:val="7"/>
        <w:rPr>
          <w:rFonts w:hint="default" w:eastAsiaTheme="minorEastAsia"/>
          <w:lang w:val="en-US" w:eastAsia="zh-CN"/>
        </w:rPr>
      </w:pPr>
      <w:r>
        <w:rPr>
          <w:rFonts w:hint="eastAsia"/>
          <w:lang w:val="en-US" w:eastAsia="zh-CN"/>
        </w:rPr>
        <w:t>请再次确认地点。</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1D5775" w15:done="0"/>
  <w15:commentEx w15:paraId="0D2A3F69" w15:done="0"/>
  <w15:commentEx w15:paraId="22E01AA7" w15:done="0"/>
  <w15:commentEx w15:paraId="64F37958" w15:done="0"/>
  <w15:commentEx w15:paraId="563D5FCB" w15:done="0"/>
  <w15:commentEx w15:paraId="64151E2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C60E2BB4"/>
    <w:multiLevelType w:val="singleLevel"/>
    <w:tmpl w:val="C60E2BB4"/>
    <w:lvl w:ilvl="0" w:tentative="0">
      <w:start w:val="1"/>
      <w:numFmt w:val="decimal"/>
      <w:suff w:val="nothing"/>
      <w:lvlText w:val="%1、"/>
      <w:lvlJc w:val="left"/>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night">
    <w15:presenceInfo w15:providerId="WPS Office" w15:userId="3558435925"/>
  </w15:person>
  <w15:person w15:author="永胜">
    <w15:presenceInfo w15:providerId="WPS Office" w15:userId="20190307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0ZDFiNGI1ZDZjZjM1NDQxZGRlYTcxM2NmM2Q4ODYifQ=="/>
  </w:docVars>
  <w:rsids>
    <w:rsidRoot w:val="00006E6E"/>
    <w:rsid w:val="00006E6E"/>
    <w:rsid w:val="00007A96"/>
    <w:rsid w:val="000228EE"/>
    <w:rsid w:val="00084775"/>
    <w:rsid w:val="00144400"/>
    <w:rsid w:val="001768B7"/>
    <w:rsid w:val="001B761B"/>
    <w:rsid w:val="002359E3"/>
    <w:rsid w:val="0025258F"/>
    <w:rsid w:val="00263B00"/>
    <w:rsid w:val="002837EC"/>
    <w:rsid w:val="002C2BD9"/>
    <w:rsid w:val="00334630"/>
    <w:rsid w:val="00370EAE"/>
    <w:rsid w:val="00371187"/>
    <w:rsid w:val="003944EE"/>
    <w:rsid w:val="004619D4"/>
    <w:rsid w:val="00530A85"/>
    <w:rsid w:val="00580894"/>
    <w:rsid w:val="00585B13"/>
    <w:rsid w:val="00603327"/>
    <w:rsid w:val="006B0E40"/>
    <w:rsid w:val="00735653"/>
    <w:rsid w:val="0077004F"/>
    <w:rsid w:val="00777CD2"/>
    <w:rsid w:val="00785947"/>
    <w:rsid w:val="00786426"/>
    <w:rsid w:val="0079333D"/>
    <w:rsid w:val="00846879"/>
    <w:rsid w:val="00863705"/>
    <w:rsid w:val="008E0054"/>
    <w:rsid w:val="009000D3"/>
    <w:rsid w:val="009244A5"/>
    <w:rsid w:val="00A31BD7"/>
    <w:rsid w:val="00A76F69"/>
    <w:rsid w:val="00A848ED"/>
    <w:rsid w:val="00AC3E98"/>
    <w:rsid w:val="00AE31A5"/>
    <w:rsid w:val="00AE7400"/>
    <w:rsid w:val="00B11247"/>
    <w:rsid w:val="00B54F71"/>
    <w:rsid w:val="00B96C39"/>
    <w:rsid w:val="00BA3803"/>
    <w:rsid w:val="00BA748E"/>
    <w:rsid w:val="00C0238A"/>
    <w:rsid w:val="00C50BC6"/>
    <w:rsid w:val="00C554ED"/>
    <w:rsid w:val="00C7165F"/>
    <w:rsid w:val="00CB1E3D"/>
    <w:rsid w:val="00CB5FB4"/>
    <w:rsid w:val="00E34260"/>
    <w:rsid w:val="00E65349"/>
    <w:rsid w:val="00E84C92"/>
    <w:rsid w:val="00F961E7"/>
    <w:rsid w:val="022829DC"/>
    <w:rsid w:val="026C6D7F"/>
    <w:rsid w:val="027F08A5"/>
    <w:rsid w:val="03187989"/>
    <w:rsid w:val="03DB7742"/>
    <w:rsid w:val="04514075"/>
    <w:rsid w:val="04DF7572"/>
    <w:rsid w:val="054741BF"/>
    <w:rsid w:val="054B35C3"/>
    <w:rsid w:val="05635C11"/>
    <w:rsid w:val="056D0D1F"/>
    <w:rsid w:val="059C1B06"/>
    <w:rsid w:val="05C33AC4"/>
    <w:rsid w:val="05CA71E5"/>
    <w:rsid w:val="05CC4494"/>
    <w:rsid w:val="05F67B7E"/>
    <w:rsid w:val="05FD02DD"/>
    <w:rsid w:val="065F59C6"/>
    <w:rsid w:val="06AE2916"/>
    <w:rsid w:val="077566D6"/>
    <w:rsid w:val="085D6721"/>
    <w:rsid w:val="08762705"/>
    <w:rsid w:val="093C07D4"/>
    <w:rsid w:val="0970062C"/>
    <w:rsid w:val="0A644377"/>
    <w:rsid w:val="0AC92FC0"/>
    <w:rsid w:val="0B3F3029"/>
    <w:rsid w:val="0B7617A2"/>
    <w:rsid w:val="0B7B5325"/>
    <w:rsid w:val="0C173EB3"/>
    <w:rsid w:val="0C2D6623"/>
    <w:rsid w:val="0D215157"/>
    <w:rsid w:val="0D344C93"/>
    <w:rsid w:val="0D353EED"/>
    <w:rsid w:val="0D971B06"/>
    <w:rsid w:val="0EB75826"/>
    <w:rsid w:val="115A0E16"/>
    <w:rsid w:val="116F2B2A"/>
    <w:rsid w:val="13402B15"/>
    <w:rsid w:val="146B158C"/>
    <w:rsid w:val="150A3E4E"/>
    <w:rsid w:val="1588601A"/>
    <w:rsid w:val="159437FA"/>
    <w:rsid w:val="16AB33DC"/>
    <w:rsid w:val="16D66E07"/>
    <w:rsid w:val="16ED50B9"/>
    <w:rsid w:val="172C0839"/>
    <w:rsid w:val="18383862"/>
    <w:rsid w:val="18ED2570"/>
    <w:rsid w:val="18F97167"/>
    <w:rsid w:val="19742C91"/>
    <w:rsid w:val="19924EC5"/>
    <w:rsid w:val="199D42C0"/>
    <w:rsid w:val="1A7263A2"/>
    <w:rsid w:val="1AC369E1"/>
    <w:rsid w:val="1B071C31"/>
    <w:rsid w:val="1B7426BE"/>
    <w:rsid w:val="1BE0456A"/>
    <w:rsid w:val="1C323AB6"/>
    <w:rsid w:val="1D065DE4"/>
    <w:rsid w:val="1D083E1C"/>
    <w:rsid w:val="1DA8115B"/>
    <w:rsid w:val="1E340C41"/>
    <w:rsid w:val="1E7C3C70"/>
    <w:rsid w:val="1EB06B0E"/>
    <w:rsid w:val="1EF704DB"/>
    <w:rsid w:val="1F42404B"/>
    <w:rsid w:val="1F503858"/>
    <w:rsid w:val="1FF33198"/>
    <w:rsid w:val="230F0CBA"/>
    <w:rsid w:val="23215FE6"/>
    <w:rsid w:val="2338088B"/>
    <w:rsid w:val="235C0EA9"/>
    <w:rsid w:val="2366364A"/>
    <w:rsid w:val="2480290A"/>
    <w:rsid w:val="24B174ED"/>
    <w:rsid w:val="24D91E5B"/>
    <w:rsid w:val="255A38EE"/>
    <w:rsid w:val="257302A1"/>
    <w:rsid w:val="25D32AED"/>
    <w:rsid w:val="26A90211"/>
    <w:rsid w:val="26FC6074"/>
    <w:rsid w:val="27560E02"/>
    <w:rsid w:val="281A4A03"/>
    <w:rsid w:val="28A864B3"/>
    <w:rsid w:val="28F84BEF"/>
    <w:rsid w:val="2ABB0320"/>
    <w:rsid w:val="2B166F4B"/>
    <w:rsid w:val="2B6449A8"/>
    <w:rsid w:val="2B77512E"/>
    <w:rsid w:val="2C3B5DDB"/>
    <w:rsid w:val="2C5D75B5"/>
    <w:rsid w:val="2CA84CD4"/>
    <w:rsid w:val="2DCD42C6"/>
    <w:rsid w:val="2E946581"/>
    <w:rsid w:val="2F4A3E20"/>
    <w:rsid w:val="2F8D691A"/>
    <w:rsid w:val="2FB7085B"/>
    <w:rsid w:val="30DC4F4C"/>
    <w:rsid w:val="31D02A3D"/>
    <w:rsid w:val="32755658"/>
    <w:rsid w:val="32BC22BD"/>
    <w:rsid w:val="33A26965"/>
    <w:rsid w:val="33E74334"/>
    <w:rsid w:val="340658AD"/>
    <w:rsid w:val="34C3222F"/>
    <w:rsid w:val="34C44675"/>
    <w:rsid w:val="34FE09FB"/>
    <w:rsid w:val="354102AC"/>
    <w:rsid w:val="35E054DE"/>
    <w:rsid w:val="35FB2318"/>
    <w:rsid w:val="3634645C"/>
    <w:rsid w:val="363475D8"/>
    <w:rsid w:val="364516AF"/>
    <w:rsid w:val="36C50230"/>
    <w:rsid w:val="36D22E8B"/>
    <w:rsid w:val="376344F0"/>
    <w:rsid w:val="378B382E"/>
    <w:rsid w:val="37B26A07"/>
    <w:rsid w:val="37C07F9E"/>
    <w:rsid w:val="381E22EE"/>
    <w:rsid w:val="38645492"/>
    <w:rsid w:val="387E5C8A"/>
    <w:rsid w:val="39CB3D5D"/>
    <w:rsid w:val="3B5D4EDB"/>
    <w:rsid w:val="3B630FA1"/>
    <w:rsid w:val="3B7C4610"/>
    <w:rsid w:val="3BAA664E"/>
    <w:rsid w:val="3BB3676E"/>
    <w:rsid w:val="3CA64660"/>
    <w:rsid w:val="3CEF4D8A"/>
    <w:rsid w:val="3D066D9E"/>
    <w:rsid w:val="3D89020A"/>
    <w:rsid w:val="3E287A22"/>
    <w:rsid w:val="3E3A2DF3"/>
    <w:rsid w:val="3F1461F9"/>
    <w:rsid w:val="40640ABA"/>
    <w:rsid w:val="40890521"/>
    <w:rsid w:val="41232723"/>
    <w:rsid w:val="412414ED"/>
    <w:rsid w:val="41C82CE2"/>
    <w:rsid w:val="41D43A1D"/>
    <w:rsid w:val="420F6834"/>
    <w:rsid w:val="424A05CE"/>
    <w:rsid w:val="426B2BF7"/>
    <w:rsid w:val="42FA2C51"/>
    <w:rsid w:val="43045181"/>
    <w:rsid w:val="436E238F"/>
    <w:rsid w:val="44396B45"/>
    <w:rsid w:val="44850A45"/>
    <w:rsid w:val="44BD69EB"/>
    <w:rsid w:val="45146934"/>
    <w:rsid w:val="453B3EF8"/>
    <w:rsid w:val="45C344D5"/>
    <w:rsid w:val="45D628C0"/>
    <w:rsid w:val="461C4E94"/>
    <w:rsid w:val="467970EB"/>
    <w:rsid w:val="467A1037"/>
    <w:rsid w:val="4884243F"/>
    <w:rsid w:val="489A56C1"/>
    <w:rsid w:val="493E07C0"/>
    <w:rsid w:val="49B65C97"/>
    <w:rsid w:val="4B1C2990"/>
    <w:rsid w:val="4BA25774"/>
    <w:rsid w:val="4C035D3C"/>
    <w:rsid w:val="4C223EB0"/>
    <w:rsid w:val="4C5D5B32"/>
    <w:rsid w:val="4C820C46"/>
    <w:rsid w:val="4D844549"/>
    <w:rsid w:val="4D9E7812"/>
    <w:rsid w:val="4E0D1F09"/>
    <w:rsid w:val="4E394BA1"/>
    <w:rsid w:val="4E711836"/>
    <w:rsid w:val="4E7A3BA3"/>
    <w:rsid w:val="4F006323"/>
    <w:rsid w:val="4F3D5201"/>
    <w:rsid w:val="504E1452"/>
    <w:rsid w:val="509D08A7"/>
    <w:rsid w:val="509E56C3"/>
    <w:rsid w:val="51B42F0B"/>
    <w:rsid w:val="52046804"/>
    <w:rsid w:val="525E180D"/>
    <w:rsid w:val="52F105E1"/>
    <w:rsid w:val="530D4FE1"/>
    <w:rsid w:val="541A5C08"/>
    <w:rsid w:val="553329B0"/>
    <w:rsid w:val="56261704"/>
    <w:rsid w:val="567134D2"/>
    <w:rsid w:val="57160908"/>
    <w:rsid w:val="577A64C4"/>
    <w:rsid w:val="58382B00"/>
    <w:rsid w:val="585C553F"/>
    <w:rsid w:val="586079EA"/>
    <w:rsid w:val="59044822"/>
    <w:rsid w:val="598223A1"/>
    <w:rsid w:val="59F842F5"/>
    <w:rsid w:val="5A8E31FD"/>
    <w:rsid w:val="5A8F3EA5"/>
    <w:rsid w:val="5AEE4062"/>
    <w:rsid w:val="5B8B0150"/>
    <w:rsid w:val="5BBB71F8"/>
    <w:rsid w:val="5BFF7943"/>
    <w:rsid w:val="5D2A2723"/>
    <w:rsid w:val="5D9378AF"/>
    <w:rsid w:val="5DCD7847"/>
    <w:rsid w:val="5DD70DEF"/>
    <w:rsid w:val="5E56345B"/>
    <w:rsid w:val="5E612718"/>
    <w:rsid w:val="5F001A99"/>
    <w:rsid w:val="5F021772"/>
    <w:rsid w:val="5F700DD2"/>
    <w:rsid w:val="5F84662B"/>
    <w:rsid w:val="5F8A3248"/>
    <w:rsid w:val="5FA45F8C"/>
    <w:rsid w:val="60653934"/>
    <w:rsid w:val="61270118"/>
    <w:rsid w:val="61880654"/>
    <w:rsid w:val="62024F9D"/>
    <w:rsid w:val="62AF064C"/>
    <w:rsid w:val="63051755"/>
    <w:rsid w:val="64D86611"/>
    <w:rsid w:val="6537641E"/>
    <w:rsid w:val="659B7D43"/>
    <w:rsid w:val="65D33E68"/>
    <w:rsid w:val="661A4C30"/>
    <w:rsid w:val="667B5128"/>
    <w:rsid w:val="66CE052E"/>
    <w:rsid w:val="67946E1E"/>
    <w:rsid w:val="67962692"/>
    <w:rsid w:val="67E9518D"/>
    <w:rsid w:val="67FB2456"/>
    <w:rsid w:val="680D0B34"/>
    <w:rsid w:val="68830183"/>
    <w:rsid w:val="68D31F2E"/>
    <w:rsid w:val="68E00D76"/>
    <w:rsid w:val="69DD39EA"/>
    <w:rsid w:val="6AAD46C0"/>
    <w:rsid w:val="6AE04A8F"/>
    <w:rsid w:val="6B39651C"/>
    <w:rsid w:val="6BE75F78"/>
    <w:rsid w:val="6C45122E"/>
    <w:rsid w:val="6CCA459E"/>
    <w:rsid w:val="6D4D41F1"/>
    <w:rsid w:val="6D64761C"/>
    <w:rsid w:val="6E5D60A4"/>
    <w:rsid w:val="6EF75561"/>
    <w:rsid w:val="6F0D7B59"/>
    <w:rsid w:val="6F0E115F"/>
    <w:rsid w:val="6F2A2D4B"/>
    <w:rsid w:val="70701DBA"/>
    <w:rsid w:val="70F52990"/>
    <w:rsid w:val="71045209"/>
    <w:rsid w:val="71092E7E"/>
    <w:rsid w:val="71293651"/>
    <w:rsid w:val="716D48CC"/>
    <w:rsid w:val="71751DE9"/>
    <w:rsid w:val="71AC7DC5"/>
    <w:rsid w:val="71BB5C90"/>
    <w:rsid w:val="726D7D9F"/>
    <w:rsid w:val="72791693"/>
    <w:rsid w:val="72CC5EC7"/>
    <w:rsid w:val="72E15E16"/>
    <w:rsid w:val="72E272C7"/>
    <w:rsid w:val="72FF004B"/>
    <w:rsid w:val="739C5A33"/>
    <w:rsid w:val="73A31396"/>
    <w:rsid w:val="74911176"/>
    <w:rsid w:val="75175B20"/>
    <w:rsid w:val="752D7209"/>
    <w:rsid w:val="7535244A"/>
    <w:rsid w:val="753D071E"/>
    <w:rsid w:val="754B1409"/>
    <w:rsid w:val="75563E74"/>
    <w:rsid w:val="75D21A46"/>
    <w:rsid w:val="762967D1"/>
    <w:rsid w:val="765D3A06"/>
    <w:rsid w:val="76721A43"/>
    <w:rsid w:val="78362761"/>
    <w:rsid w:val="78BF39FA"/>
    <w:rsid w:val="78E026CC"/>
    <w:rsid w:val="7956543B"/>
    <w:rsid w:val="7A4C3816"/>
    <w:rsid w:val="7B1F0BD1"/>
    <w:rsid w:val="7B492577"/>
    <w:rsid w:val="7B6F2CBD"/>
    <w:rsid w:val="7BF134B3"/>
    <w:rsid w:val="7C1A6721"/>
    <w:rsid w:val="7D082F5D"/>
    <w:rsid w:val="7E3829D7"/>
    <w:rsid w:val="7F54703D"/>
    <w:rsid w:val="7FFF2F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link w:val="2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autoRedefine/>
    <w:qFormat/>
    <w:uiPriority w:val="0"/>
    <w:pPr>
      <w:widowControl/>
      <w:spacing w:line="360" w:lineRule="auto"/>
      <w:outlineLvl w:val="2"/>
    </w:pPr>
    <w:rPr>
      <w:b/>
      <w:bCs/>
      <w:kern w:val="0"/>
      <w:sz w:val="24"/>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7">
    <w:name w:val="annotation text"/>
    <w:basedOn w:val="1"/>
    <w:autoRedefine/>
    <w:semiHidden/>
    <w:unhideWhenUsed/>
    <w:qFormat/>
    <w:uiPriority w:val="99"/>
    <w:pPr>
      <w:jc w:val="left"/>
    </w:pPr>
  </w:style>
  <w:style w:type="paragraph" w:styleId="8">
    <w:name w:val="Plain Text"/>
    <w:basedOn w:val="1"/>
    <w:link w:val="22"/>
    <w:autoRedefine/>
    <w:qFormat/>
    <w:uiPriority w:val="0"/>
    <w:rPr>
      <w:rFonts w:ascii="宋体" w:hAnsi="Courier New" w:eastAsia="仿宋_GB2312" w:cs="Times New Roman"/>
      <w:sz w:val="32"/>
      <w:szCs w:val="20"/>
    </w:rPr>
  </w:style>
  <w:style w:type="paragraph" w:styleId="9">
    <w:name w:val="footer"/>
    <w:basedOn w:val="1"/>
    <w:link w:val="16"/>
    <w:autoRedefine/>
    <w:unhideWhenUsed/>
    <w:qFormat/>
    <w:uiPriority w:val="99"/>
    <w:pPr>
      <w:tabs>
        <w:tab w:val="center" w:pos="4153"/>
        <w:tab w:val="right" w:pos="8306"/>
      </w:tabs>
      <w:snapToGrid w:val="0"/>
      <w:jc w:val="left"/>
    </w:pPr>
    <w:rPr>
      <w:sz w:val="18"/>
      <w:szCs w:val="18"/>
    </w:rPr>
  </w:style>
  <w:style w:type="paragraph" w:styleId="10">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Autospacing="1" w:afterAutospacing="1"/>
      <w:jc w:val="left"/>
    </w:pPr>
    <w:rPr>
      <w:rFonts w:cs="Times New Roman"/>
      <w:kern w:val="0"/>
      <w:sz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页眉 字符"/>
    <w:basedOn w:val="14"/>
    <w:link w:val="10"/>
    <w:autoRedefine/>
    <w:qFormat/>
    <w:uiPriority w:val="99"/>
    <w:rPr>
      <w:sz w:val="18"/>
      <w:szCs w:val="18"/>
    </w:rPr>
  </w:style>
  <w:style w:type="character" w:customStyle="1" w:styleId="16">
    <w:name w:val="页脚 字符"/>
    <w:basedOn w:val="14"/>
    <w:link w:val="9"/>
    <w:autoRedefine/>
    <w:qFormat/>
    <w:uiPriority w:val="99"/>
    <w:rPr>
      <w:sz w:val="18"/>
      <w:szCs w:val="18"/>
    </w:rPr>
  </w:style>
  <w:style w:type="paragraph" w:customStyle="1" w:styleId="17">
    <w:name w:val="BodyText1I"/>
    <w:basedOn w:val="18"/>
    <w:autoRedefine/>
    <w:qFormat/>
    <w:uiPriority w:val="0"/>
    <w:pPr>
      <w:spacing w:line="312" w:lineRule="auto"/>
      <w:ind w:firstLine="420"/>
    </w:pPr>
    <w:rPr>
      <w:rFonts w:ascii="Calibri" w:hAnsi="Calibri"/>
    </w:rPr>
  </w:style>
  <w:style w:type="paragraph" w:customStyle="1" w:styleId="18">
    <w:name w:val="BodyText"/>
    <w:basedOn w:val="1"/>
    <w:autoRedefine/>
    <w:qFormat/>
    <w:uiPriority w:val="0"/>
    <w:pPr>
      <w:spacing w:after="120"/>
    </w:pPr>
  </w:style>
  <w:style w:type="paragraph" w:customStyle="1" w:styleId="19">
    <w:name w:val="p0"/>
    <w:basedOn w:val="1"/>
    <w:autoRedefine/>
    <w:qFormat/>
    <w:uiPriority w:val="0"/>
    <w:pPr>
      <w:widowControl/>
    </w:pPr>
    <w:rPr>
      <w:szCs w:val="21"/>
    </w:rPr>
  </w:style>
  <w:style w:type="paragraph" w:styleId="20">
    <w:name w:val="List Paragraph"/>
    <w:basedOn w:val="1"/>
    <w:autoRedefine/>
    <w:qFormat/>
    <w:uiPriority w:val="0"/>
    <w:pPr>
      <w:ind w:firstLine="420" w:firstLineChars="200"/>
    </w:pPr>
    <w:rPr>
      <w:rFonts w:ascii="Calibri" w:hAnsi="Calibri"/>
    </w:rPr>
  </w:style>
  <w:style w:type="character" w:customStyle="1" w:styleId="21">
    <w:name w:val="标题 2 字符"/>
    <w:basedOn w:val="14"/>
    <w:link w:val="5"/>
    <w:autoRedefine/>
    <w:semiHidden/>
    <w:qFormat/>
    <w:uiPriority w:val="9"/>
    <w:rPr>
      <w:rFonts w:asciiTheme="majorHAnsi" w:hAnsiTheme="majorHAnsi" w:eastAsiaTheme="majorEastAsia" w:cstheme="majorBidi"/>
      <w:b/>
      <w:bCs/>
      <w:kern w:val="2"/>
      <w:sz w:val="32"/>
      <w:szCs w:val="32"/>
    </w:rPr>
  </w:style>
  <w:style w:type="character" w:customStyle="1" w:styleId="22">
    <w:name w:val="纯文本 字符"/>
    <w:basedOn w:val="14"/>
    <w:link w:val="8"/>
    <w:autoRedefine/>
    <w:qFormat/>
    <w:uiPriority w:val="0"/>
    <w:rPr>
      <w:rFonts w:ascii="宋体" w:hAnsi="Courier New" w:eastAsia="仿宋_GB2312"/>
      <w:kern w:val="2"/>
      <w:sz w:val="32"/>
    </w:rPr>
  </w:style>
  <w:style w:type="paragraph" w:customStyle="1" w:styleId="23">
    <w:name w:val="样式2"/>
    <w:basedOn w:val="6"/>
    <w:autoRedefine/>
    <w:unhideWhenUsed/>
    <w:qFormat/>
    <w:uiPriority w:val="99"/>
    <w:rPr>
      <w:i/>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1536</Words>
  <Characters>1675</Characters>
  <Lines>43</Lines>
  <Paragraphs>12</Paragraphs>
  <TotalTime>2</TotalTime>
  <ScaleCrop>false</ScaleCrop>
  <LinksUpToDate>false</LinksUpToDate>
  <CharactersWithSpaces>1786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任沛东</cp:lastModifiedBy>
  <dcterms:modified xsi:type="dcterms:W3CDTF">2024-01-02T02:26:40Z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0F4C1BA57A564C87B00F8C008085618B_13</vt:lpwstr>
  </property>
</Properties>
</file>