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 w:ascii="Times New Roman" w:hAnsi="Times New Roman" w:eastAsia="方正小标宋_GBK" w:cs="Times New Roman"/>
          <w:sz w:val="52"/>
          <w:szCs w:val="52"/>
        </w:rPr>
      </w:pPr>
      <w:bookmarkStart w:id="0" w:name="_GoBack"/>
      <w:bookmarkEnd w:id="0"/>
    </w:p>
    <w:p>
      <w:pPr>
        <w:jc w:val="center"/>
        <w:rPr>
          <w:rFonts w:hint="default" w:ascii="Times New Roman" w:hAnsi="Times New Roman" w:eastAsia="方正小标宋_GBK" w:cs="Times New Roman"/>
          <w:sz w:val="52"/>
          <w:szCs w:val="52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岳阳城陵矶综合保税区管理委员会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整体支出绩效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报告</w:t>
      </w:r>
    </w:p>
    <w:p>
      <w:pPr>
        <w:jc w:val="center"/>
        <w:rPr>
          <w:rFonts w:hint="default" w:ascii="Times New Roman" w:hAnsi="Times New Roman" w:eastAsia="方正小标宋_GBK" w:cs="Times New Roman"/>
          <w:b/>
          <w:sz w:val="52"/>
          <w:szCs w:val="52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楷体_GB2312" w:cs="Times New Roman"/>
          <w:b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jc w:val="center"/>
        <w:rPr>
          <w:rFonts w:hint="default" w:ascii="Times New Roman" w:hAnsi="Times New Roman" w:eastAsia="黑体" w:cs="Times New Roman"/>
          <w:sz w:val="32"/>
          <w:szCs w:val="32"/>
        </w:rPr>
      </w:pPr>
    </w:p>
    <w:p>
      <w:pPr>
        <w:spacing w:line="600" w:lineRule="exact"/>
        <w:jc w:val="center"/>
        <w:rPr>
          <w:rFonts w:hint="default" w:ascii="Times New Roman" w:hAnsi="Times New Roman" w:eastAsia="仿宋_GB2312" w:cs="Times New Roman"/>
          <w:sz w:val="32"/>
          <w:szCs w:val="32"/>
          <w:u w:val="single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t>部门（单位）名称：</w:t>
      </w:r>
      <w:r>
        <w:rPr>
          <w:rFonts w:hint="eastAsia" w:ascii="Times New Roman" w:hAnsi="Times New Roman" w:eastAsia="仿宋_GB2312" w:cs="Times New Roman"/>
          <w:sz w:val="32"/>
          <w:szCs w:val="32"/>
          <w:u w:val="single"/>
          <w:lang w:eastAsia="zh-CN"/>
        </w:rPr>
        <w:t>岳阳城陵矶综合保税区管理委员会</w:t>
      </w:r>
    </w:p>
    <w:p>
      <w:pPr>
        <w:spacing w:line="600" w:lineRule="exact"/>
        <w:jc w:val="center"/>
        <w:rPr>
          <w:rFonts w:hint="default" w:ascii="Times New Roman" w:hAnsi="Times New Roman" w:eastAsia="楷体_GB2312" w:cs="Times New Roman"/>
          <w:sz w:val="32"/>
          <w:szCs w:val="32"/>
        </w:rPr>
      </w:pP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2023</w:t>
      </w:r>
      <w:r>
        <w:rPr>
          <w:rFonts w:hint="default" w:ascii="Times New Roman" w:hAnsi="Times New Roman" w:eastAsia="楷体_GB2312" w:cs="Times New Roman"/>
          <w:sz w:val="32"/>
          <w:szCs w:val="32"/>
        </w:rPr>
        <w:t xml:space="preserve">年 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07</w:t>
      </w:r>
      <w:r>
        <w:rPr>
          <w:rFonts w:hint="default" w:ascii="Times New Roman" w:hAnsi="Times New Roman" w:eastAsia="楷体_GB2312" w:cs="Times New Roman"/>
          <w:sz w:val="32"/>
          <w:szCs w:val="32"/>
        </w:rPr>
        <w:t xml:space="preserve"> 月 </w:t>
      </w:r>
      <w:r>
        <w:rPr>
          <w:rFonts w:hint="eastAsia" w:ascii="Times New Roman" w:hAnsi="Times New Roman" w:eastAsia="楷体_GB2312" w:cs="Times New Roman"/>
          <w:sz w:val="32"/>
          <w:szCs w:val="32"/>
          <w:lang w:val="en-US" w:eastAsia="zh-CN"/>
        </w:rPr>
        <w:t>06</w:t>
      </w:r>
      <w:r>
        <w:rPr>
          <w:rFonts w:hint="default" w:ascii="Times New Roman" w:hAnsi="Times New Roman" w:eastAsia="楷体_GB2312" w:cs="Times New Roman"/>
          <w:sz w:val="32"/>
          <w:szCs w:val="32"/>
        </w:rPr>
        <w:t xml:space="preserve"> 日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default" w:ascii="Times New Roman" w:hAnsi="Times New Roman" w:eastAsia="仿宋_GB2312" w:cs="Times New Roman"/>
          <w:sz w:val="32"/>
          <w:szCs w:val="32"/>
        </w:rPr>
        <w:br w:type="page"/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202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年度</w:t>
      </w:r>
      <w:r>
        <w:rPr>
          <w:rFonts w:hint="eastAsia" w:ascii="方正小标宋简体" w:eastAsia="方正小标宋简体"/>
          <w:sz w:val="44"/>
          <w:szCs w:val="44"/>
          <w:lang w:eastAsia="zh-CN"/>
        </w:rPr>
        <w:t>岳阳城陵矶综合保税区管理委员会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整体支出绩效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评价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报告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部门（单位）基本情况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1、职能职责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（1）贯彻执行党和国家关于发展综合保税区的方针、政策和法律、法规、规章；研究制定和组织实施岳阳城陵矶综合保税区各项具体管理制度；开展政策、法规宣传教育工作；根据市人民政府授权，检查督促各项政策、法规的执行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（2）组织参与编制岳阳城陵矶综合保税区中长期发展规划，拟定鼓励重点产业发展的财政扶持政策。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（3）负责综合保税区招商引资有关工作；协助有关部门审核和批准管理范围内的外资和内资项目，指导和协调招商引资、对外经济技术合作与交流；协助有关部门处理区内有关涉外事务。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（4）根据市人民政府授权或接受有关部门委托，负责协调区内企业与民航、海关、检验检疫、口岸、工商、税务、金融、知识产权等有关部门和公安等其他驻区单位的工作，为企业提供指导和服务。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（5）负责区内基础设施的建设和维护管理工作。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（6）负责区内的综合、信息、统计及国有资产管理等工作。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（7）完成市委、市人民政府交办的其他事项。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2、机构设置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根据中共岳阳市委办公室、岳阳市人民政府办公室印发的《中共湖南城陵矶新港区工作委员会 湖南新港区管理委员会  中国（湖南）自由贸易区岳阳片区管理委员会 岳阳城陵矶综合保税区管理委员会职能配置、内设机构和人员编制规定》（岳办发〔2022〕9号）的通知，岳阳城陵矶综合保税区管理委员会设4个内设机构：保税事务部、招商二部（经济发展部）、企业服务部、口岸贸易部。财政编制数为25人，2022年实际在职人数为18人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二、一般公共预算支出情况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（一）基本支出情况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1、2022年我单位收入203.81万元，其中一般公共预算财政拨款收入203.81万元。基本支出203.81万元。使用内容为人员经费和日常公用经费， 其中工资福利支出164.11万元，主要用于发放事业人员工资及社保；一般商品和服务支出39.70万元，主要用于保障机关正常运转所需开支的办公费、印刷费、维修（护）费、工会经费、公务用车运行维护费等。整体开支来自于年初预算拨款。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2、“三公”经费总支出情况：公务用车运行维护费8.99万元；公务接待费零开支；公务用车购置费零开支；因公出国（境）费用零支出。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3" w:firstLineChars="200"/>
        <w:jc w:val="both"/>
        <w:textAlignment w:val="auto"/>
        <w:rPr>
          <w:rFonts w:hint="default" w:ascii="Times New Roman" w:hAnsi="Times New Roman" w:eastAsia="楷体_GB2312" w:cs="Times New Roman"/>
          <w:b/>
          <w:sz w:val="32"/>
          <w:szCs w:val="32"/>
        </w:rPr>
      </w:pPr>
      <w:r>
        <w:rPr>
          <w:rFonts w:hint="default" w:ascii="Times New Roman" w:hAnsi="Times New Roman" w:eastAsia="楷体_GB2312" w:cs="Times New Roman"/>
          <w:b/>
          <w:sz w:val="32"/>
          <w:szCs w:val="32"/>
        </w:rPr>
        <w:t>项目支出情况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2022年度我单位无项目预算的支出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三、</w:t>
      </w:r>
      <w:r>
        <w:rPr>
          <w:rFonts w:hint="default" w:ascii="Times New Roman" w:hAnsi="Times New Roman" w:eastAsia="黑体" w:cs="Times New Roman"/>
          <w:sz w:val="32"/>
          <w:szCs w:val="32"/>
        </w:rPr>
        <w:t>政府性基金预算支出情况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2022年度我单位无政府性基金预算的支出</w:t>
      </w: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四、</w:t>
      </w:r>
      <w:r>
        <w:rPr>
          <w:rFonts w:hint="default" w:ascii="Times New Roman" w:hAnsi="Times New Roman" w:eastAsia="黑体" w:cs="Times New Roman"/>
          <w:sz w:val="32"/>
          <w:szCs w:val="32"/>
        </w:rPr>
        <w:t>国有资本经营预算支出情况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2022年度我单位无国有资本经营预算的支出</w:t>
      </w:r>
    </w:p>
    <w:p>
      <w:pPr>
        <w:rPr>
          <w:rFonts w:hint="default"/>
          <w:lang w:val="en-US" w:eastAsia="zh-CN"/>
        </w:rPr>
      </w:pPr>
    </w:p>
    <w:p>
      <w:pPr>
        <w:pStyle w:val="12"/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五、</w:t>
      </w:r>
      <w:r>
        <w:rPr>
          <w:rFonts w:hint="default" w:ascii="Times New Roman" w:hAnsi="Times New Roman" w:eastAsia="黑体" w:cs="Times New Roman"/>
          <w:sz w:val="32"/>
          <w:szCs w:val="32"/>
        </w:rPr>
        <w:t>社会保险基金预算支出情况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Cs/>
          <w:kern w:val="0"/>
          <w:sz w:val="32"/>
          <w:szCs w:val="32"/>
          <w:lang w:val="en-US" w:eastAsia="zh-CN" w:bidi="ar-SA"/>
        </w:rPr>
        <w:t>2022年我单位社会保险基金预算支出29.47万元，其中事业单位基本养老保险缴费支出19.80万元，事业单位医疗缴费支出9.67万元。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六、</w:t>
      </w:r>
      <w:r>
        <w:rPr>
          <w:rFonts w:hint="default" w:ascii="Times New Roman" w:hAnsi="Times New Roman" w:eastAsia="黑体" w:cs="Times New Roman"/>
          <w:sz w:val="32"/>
          <w:szCs w:val="32"/>
        </w:rPr>
        <w:t>部门整体支出绩效情况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202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，根据年初工作规划和重点工作安排，围绕市委、市政府的工作部署，积极履行职责，强化管理，较好地完成了年度工作目标。同时，通过预算收支的管理、建立内部规章制度、严格规范管理流程等一系列措施，单位年度整体支出管理得到有效提升。具体绩效情况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严格按照年初预算来执行，有效防止了超预算；认真学习财经法规，严格执行财经纪律，防止了违法违纪行为的发生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严格按照厉行节约的要求，精打细算，规范机关事务管理工作，提高服务质量，降低运行成本，合理配置，提高保障能力。保障了干部待遇按政策发放落实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；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>3、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认真贯彻落实从严治党各项要求，始终坚持把纪律规矩挺在最前面。全面贯彻落实习近平新时代中国特色社会主义思想，深化推进党风廉政建设和反腐败工作纵深发展。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七、存在的问题及原因分析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通过前述对我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整体支出情况的分析，反映出目前在整体支出的预算编制、执行和管理过程中，依然存在一些问题和不足：因部分工作不可预见性，有些支出无法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准确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纳入预算，导致预算执行存在偏差。针对这些不足，我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单位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将积极采取改进措施，持续改进，不断规范和强化管理。</w:t>
      </w: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leftChars="0" w:firstLine="0" w:firstLineChars="0"/>
        <w:jc w:val="both"/>
        <w:textAlignment w:val="auto"/>
        <w:rPr>
          <w:rFonts w:hint="eastAsia" w:ascii="Times New Roman" w:hAnsi="Times New Roman" w:eastAsia="黑体" w:cs="Times New Roman"/>
          <w:sz w:val="32"/>
          <w:szCs w:val="32"/>
          <w:lang w:eastAsia="zh-CN"/>
        </w:rPr>
      </w:pPr>
    </w:p>
    <w:p>
      <w:pPr>
        <w:pStyle w:val="1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eastAsia" w:ascii="Times New Roman" w:hAnsi="Times New Roman" w:eastAsia="黑体" w:cs="Times New Roman"/>
          <w:sz w:val="32"/>
          <w:szCs w:val="32"/>
          <w:lang w:eastAsia="zh-CN"/>
        </w:rPr>
        <w:t>八、</w:t>
      </w:r>
      <w:r>
        <w:rPr>
          <w:rFonts w:hint="default" w:ascii="Times New Roman" w:hAnsi="Times New Roman" w:eastAsia="黑体" w:cs="Times New Roman"/>
          <w:sz w:val="32"/>
          <w:szCs w:val="32"/>
        </w:rPr>
        <w:t>下一步改进措施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科学合理编制预算，严格执行预算。要按照《预算法》及其实施条例的相关规定，参考上一年的预算执行情况和年度的收支预测科学编制预算，避免年中大幅追加以及超预算。同时严格预算执行，提高资金使用效率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加强机关单位人员的教育培训，增加人员流动，增强单位人员活力，将单位的各项工作落到实处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九、部门整体支出绩效自评结果拟应用和公开情况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 w:bidi="ar-SA"/>
        </w:rPr>
        <w:t>1、通过绩效自评，进一步掌握了资金使用情况和取得的效果，发现了工作中存在的问题和不足，为今后加强资金使用管理、完善资金绩效管理、提高资金使用效益工作提供了重要的参考依据。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 w:bidi="ar-SA"/>
        </w:rPr>
        <w:t>2、此次绩效自评报告将在本单位予以公告，向社会公开，广泛接受群众监督。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其他需要说明的情况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/>
          <w:kern w:val="0"/>
          <w:sz w:val="32"/>
          <w:szCs w:val="32"/>
          <w:lang w:val="en-US" w:eastAsia="zh-CN" w:bidi="ar-SA"/>
        </w:rPr>
        <w:t>暂无其他需要说明的情况。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报告需要以下附件：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部门整体支出绩效评价基础数据表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2"/>
          <w:szCs w:val="32"/>
        </w:rPr>
        <w:t>部门整体支出绩效自评表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32"/>
          <w:szCs w:val="32"/>
        </w:rPr>
        <w:t>社会保险基金预算支出情况表</w:t>
      </w:r>
    </w:p>
    <w:p>
      <w:pPr>
        <w:spacing w:after="120" w:afterLines="5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after="120" w:afterLines="5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after="120" w:afterLines="50" w:line="600" w:lineRule="exact"/>
        <w:jc w:val="both"/>
        <w:rPr>
          <w:rFonts w:hint="eastAsia" w:ascii="黑体" w:hAnsi="黑体" w:eastAsia="黑体" w:cs="黑体"/>
          <w:sz w:val="32"/>
          <w:szCs w:val="32"/>
          <w:lang w:eastAsia="zh-CN"/>
        </w:rPr>
      </w:pPr>
    </w:p>
    <w:p>
      <w:pPr>
        <w:spacing w:after="120" w:afterLines="50" w:line="600" w:lineRule="exact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1</w:t>
      </w:r>
    </w:p>
    <w:p>
      <w:pPr>
        <w:spacing w:after="120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sz w:val="24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年度部门整体支出绩效评价基础数据表</w:t>
      </w:r>
    </w:p>
    <w:tbl>
      <w:tblPr>
        <w:tblStyle w:val="7"/>
        <w:tblW w:w="96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54"/>
        <w:gridCol w:w="1189"/>
        <w:gridCol w:w="849"/>
        <w:gridCol w:w="1129"/>
        <w:gridCol w:w="1111"/>
        <w:gridCol w:w="1081"/>
        <w:gridCol w:w="96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财政供养人员情况（人）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编制数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年实际在职人数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仿宋_GB2312" w:cs="Times New Roman"/>
                <w:kern w:val="0"/>
                <w:sz w:val="28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　25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仿宋_GB2312" w:cs="Times New Roman"/>
                <w:kern w:val="0"/>
                <w:sz w:val="28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18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仿宋_GB2312" w:cs="Times New Roman"/>
                <w:kern w:val="0"/>
                <w:sz w:val="28"/>
                <w:szCs w:val="21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72.00%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经费控制情况（万元）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lang w:val="en-US" w:eastAsia="zh-CN"/>
              </w:rPr>
              <w:t>1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年决算数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年预算数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202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b/>
                <w:bCs/>
                <w:sz w:val="20"/>
                <w:szCs w:val="20"/>
              </w:rPr>
              <w:t>年决算数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三公经费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　9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9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8.99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1、公务用车购置和维护经费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　9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9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8.99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   其中：公车购置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</w:p>
        </w:tc>
      </w:tr>
      <w:tr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         公车运行维护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　9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9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8.99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2、出国经费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3、公务接待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项目支出：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1、业务工作经费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2、运行维护经费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……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3、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eastAsia="zh-CN"/>
              </w:rPr>
              <w:t>市级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专项资金（一个专项一行）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……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公用经费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40.65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42.14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仿宋_GB2312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39.7</w:t>
            </w:r>
            <w:r>
              <w:rPr>
                <w:rFonts w:hint="eastAsia" w:eastAsia="仿宋_GB2312"/>
                <w:kern w:val="0"/>
                <w:sz w:val="21"/>
                <w:lang w:val="en-US" w:eastAsia="zh-CN"/>
              </w:rPr>
              <w:t>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其中：办公经费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1"/>
              </w:rPr>
              <w:t>4.30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仿宋_GB2312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1"/>
              </w:rPr>
              <w:t>3.5</w:t>
            </w:r>
            <w:r>
              <w:rPr>
                <w:rFonts w:hint="eastAsia" w:eastAsia="仿宋_GB2312"/>
                <w:color w:val="auto"/>
                <w:kern w:val="0"/>
                <w:sz w:val="21"/>
                <w:lang w:val="en-US" w:eastAsia="zh-CN"/>
              </w:rPr>
              <w:t>0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color w:val="FF0000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kern w:val="0"/>
                <w:sz w:val="21"/>
              </w:rPr>
              <w:t>3.50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      水费、电费、差旅费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1"/>
              </w:rPr>
              <w:t>7.86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color w:val="auto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仿宋_GB2312"/>
                <w:color w:val="auto"/>
                <w:kern w:val="0"/>
                <w:sz w:val="21"/>
              </w:rPr>
              <w:t>8.16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beforeLines="0" w:afterLines="0"/>
              <w:jc w:val="center"/>
              <w:rPr>
                <w:rFonts w:hint="eastAsia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eastAsia="宋体"/>
                <w:sz w:val="21"/>
              </w:rPr>
              <w:t>9.66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          会议费、培训费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</w:rPr>
              <w:t>　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FF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政府采购金额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 xml:space="preserve">部门基本支出预算调整 </w:t>
            </w:r>
          </w:p>
        </w:tc>
        <w:tc>
          <w:tcPr>
            <w:tcW w:w="203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——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204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</w:tr>
      <w:tr>
        <w:trPr>
          <w:trHeight w:val="0" w:hRule="atLeast"/>
          <w:jc w:val="center"/>
        </w:trPr>
        <w:tc>
          <w:tcPr>
            <w:tcW w:w="3354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楼堂馆所控制情况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（202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年完工项目）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  <w:t>批复规模</w:t>
            </w: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  <w:t>（㎡）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  <w:t>实际规模（㎡）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  <w:t>规模控制率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  <w:t>预算投资（万元）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  <w:t>实际投资（万元）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0"/>
                <w:szCs w:val="20"/>
              </w:rPr>
              <w:t>投资概算控制率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84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112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11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  <w:tc>
          <w:tcPr>
            <w:tcW w:w="9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left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3354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厉行节约保障措施</w:t>
            </w:r>
          </w:p>
        </w:tc>
        <w:tc>
          <w:tcPr>
            <w:tcW w:w="6319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　</w:t>
            </w:r>
          </w:p>
        </w:tc>
      </w:tr>
    </w:tbl>
    <w:p>
      <w:pPr>
        <w:widowControl/>
        <w:spacing w:afterLines="0" w:line="400" w:lineRule="exact"/>
        <w:jc w:val="left"/>
        <w:rPr>
          <w:rFonts w:hint="default" w:ascii="Times New Roman" w:hAnsi="Times New Roman" w:eastAsia="仿宋_GB2312" w:cs="Times New Roman"/>
          <w:sz w:val="22"/>
        </w:rPr>
      </w:pPr>
      <w:r>
        <w:rPr>
          <w:rFonts w:hint="default" w:ascii="Times New Roman" w:hAnsi="Times New Roman" w:eastAsia="仿宋_GB2312" w:cs="Times New Roman"/>
          <w:sz w:val="22"/>
        </w:rPr>
        <w:t>说明：“项目支出”需要填报基本支出以外的所有项目支出情况，“公用经费”填报基本支出中的一般商品和服务支出。</w:t>
      </w:r>
    </w:p>
    <w:p>
      <w:pPr>
        <w:widowControl/>
        <w:spacing w:afterLines="0" w:line="400" w:lineRule="exact"/>
        <w:jc w:val="left"/>
        <w:rPr>
          <w:rFonts w:hint="default" w:ascii="Times New Roman" w:hAnsi="Times New Roman" w:eastAsia="仿宋_GB2312" w:cs="Times New Roman"/>
          <w:sz w:val="22"/>
        </w:rPr>
      </w:pPr>
    </w:p>
    <w:p>
      <w:pPr>
        <w:widowControl/>
        <w:spacing w:after="0" w:afterLines="0" w:line="400" w:lineRule="exact"/>
        <w:jc w:val="left"/>
        <w:rPr>
          <w:rFonts w:hint="eastAsia" w:ascii="黑体" w:hAnsi="黑体" w:eastAsia="黑体" w:cs="黑体"/>
          <w:sz w:val="32"/>
          <w:szCs w:val="32"/>
          <w:lang w:eastAsia="zh-CN"/>
        </w:rPr>
      </w:pPr>
      <w:r>
        <w:rPr>
          <w:rFonts w:hint="default" w:ascii="Times New Roman" w:hAnsi="Times New Roman" w:eastAsia="仿宋_GB2312" w:cs="Times New Roman"/>
          <w:sz w:val="22"/>
        </w:rPr>
        <w:t>填表人：</w:t>
      </w:r>
      <w:r>
        <w:rPr>
          <w:rFonts w:hint="eastAsia" w:ascii="Times New Roman" w:hAnsi="Times New Roman" w:eastAsia="仿宋_GB2312" w:cs="Times New Roman"/>
          <w:sz w:val="22"/>
          <w:lang w:eastAsia="zh-CN"/>
        </w:rPr>
        <w:t>赵晨宏</w:t>
      </w:r>
      <w:r>
        <w:rPr>
          <w:rFonts w:hint="default" w:ascii="Times New Roman" w:hAnsi="Times New Roman" w:eastAsia="仿宋_GB2312" w:cs="Times New Roman"/>
          <w:sz w:val="22"/>
        </w:rPr>
        <w:t xml:space="preserve">   填报日期：</w:t>
      </w:r>
      <w:r>
        <w:rPr>
          <w:rFonts w:hint="eastAsia" w:ascii="Times New Roman" w:hAnsi="Times New Roman" w:eastAsia="仿宋_GB2312" w:cs="Times New Roman"/>
          <w:sz w:val="22"/>
          <w:lang w:val="en-US" w:eastAsia="zh-CN"/>
        </w:rPr>
        <w:t>2023.7.6</w:t>
      </w:r>
      <w:r>
        <w:rPr>
          <w:rFonts w:hint="default" w:ascii="Times New Roman" w:hAnsi="Times New Roman" w:eastAsia="仿宋_GB2312" w:cs="Times New Roman"/>
          <w:sz w:val="22"/>
        </w:rPr>
        <w:t xml:space="preserve">   联系电话：</w:t>
      </w:r>
      <w:r>
        <w:rPr>
          <w:rFonts w:hint="eastAsia" w:ascii="Times New Roman" w:hAnsi="Times New Roman" w:eastAsia="仿宋_GB2312" w:cs="Times New Roman"/>
          <w:sz w:val="22"/>
          <w:lang w:val="en-US" w:eastAsia="zh-CN"/>
        </w:rPr>
        <w:t>15200700358</w:t>
      </w:r>
      <w:r>
        <w:rPr>
          <w:rFonts w:hint="default" w:ascii="Times New Roman" w:hAnsi="Times New Roman" w:eastAsia="仿宋_GB2312" w:cs="Times New Roman"/>
          <w:sz w:val="22"/>
        </w:rPr>
        <w:t xml:space="preserve">     单位负责人签字：</w:t>
      </w:r>
      <w:r>
        <w:rPr>
          <w:rFonts w:hint="default" w:ascii="Times New Roman" w:hAnsi="Times New Roman" w:eastAsia="仿宋_GB2312" w:cs="Times New Roman"/>
          <w:sz w:val="22"/>
        </w:rPr>
        <w:br w:type="page"/>
      </w: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widowControl/>
        <w:spacing w:after="120" w:afterLines="50"/>
        <w:jc w:val="center"/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年度部门整体支出绩效自评表</w:t>
      </w:r>
    </w:p>
    <w:tbl>
      <w:tblPr>
        <w:tblStyle w:val="7"/>
        <w:tblW w:w="10079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080"/>
        <w:gridCol w:w="1034"/>
        <w:gridCol w:w="1270"/>
        <w:gridCol w:w="1311"/>
        <w:gridCol w:w="1269"/>
        <w:gridCol w:w="716"/>
        <w:gridCol w:w="873"/>
        <w:gridCol w:w="1446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级预算部门名称</w:t>
            </w:r>
          </w:p>
        </w:tc>
        <w:tc>
          <w:tcPr>
            <w:tcW w:w="8999" w:type="dxa"/>
            <w:gridSpan w:val="8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岳阳城陵矶综合保税区管理委员会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年度预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算申请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br w:type="textWrapping"/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（万元）</w:t>
            </w: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年初预算数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全年预算数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全年执行数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执行率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sz w:val="20"/>
                <w:szCs w:val="20"/>
              </w:rPr>
              <w:t>得分</w:t>
            </w:r>
          </w:p>
        </w:tc>
      </w:tr>
      <w:tr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211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年度资金总额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210.93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203.81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both"/>
              <w:rPr>
                <w:rFonts w:hint="default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203.81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100%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beforeLines="0" w:afterLines="0"/>
              <w:jc w:val="center"/>
              <w:rPr>
                <w:rFonts w:hint="default" w:ascii="仿宋" w:hAnsi="仿宋" w:eastAsia="宋体" w:cs="Times New Roman"/>
                <w:kern w:val="0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1"/>
                <w:szCs w:val="24"/>
                <w:lang w:val="en-US" w:eastAsia="zh-CN" w:bidi="ar-SA"/>
              </w:rPr>
              <w:t>10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按收入性质分：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按支出性质分：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 xml:space="preserve">  其中：  一般公共预算：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203.81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其中：基本支出：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203.81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800" w:firstLineChars="400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政府性基金拨款：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600" w:firstLineChars="300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项目支出：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纳入专户管理的非税收入拨款：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ind w:firstLine="1400" w:firstLineChars="700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其他资金：</w:t>
            </w:r>
          </w:p>
        </w:tc>
        <w:tc>
          <w:tcPr>
            <w:tcW w:w="4304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年度总体目标</w:t>
            </w:r>
          </w:p>
        </w:tc>
        <w:tc>
          <w:tcPr>
            <w:tcW w:w="4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预期目标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实际完成情况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469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按照“五好园区”创建标准和“千百十”工程要求，在实施“三高四新”战略和推动岳阳“三区一中心”建设中多作贡献、走在前列。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（一）主攻贸易链，做大市场总量。量质并重强贸易。进一步做大现有贸易总量规模，提升贸易质量效益。粮食板块完成进出口量500万吨，实现贸易额160亿元；汽车贸易板块，完成整车进口7000台,实现贸易额30亿元，铁矿石进口200万吨，实现贸易额25亿元；肉类贸易板块，完成肉类进口9万吨，实现贸易额25亿元；综合贸易板块，完成原油进口650万吨，实现贸易额200亿元；完成煤炭进口100万吨，实现贸易额5亿元；完成橡胶进口35万吨，实现贸易额50亿元；完成聚乙烯进口35万吨，实现贸易额15亿元；完成木材进口100万方，实现贸易额20亿元；加工贸易板块，实现贸易额120亿元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（二）拓展产业链，做强项目实体，招大引强产业项目。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（三）聚焦供应链，做亮品牌效应，扩大融资规模。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（四）延伸服务链，做优发展环境。</w:t>
            </w:r>
          </w:p>
        </w:tc>
        <w:tc>
          <w:tcPr>
            <w:tcW w:w="430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截至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2022年12月31日，我单位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按照“五好园区”创建标准和“千百十”工程要求，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积极推进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实施“三高四新”战略和推动岳阳“三区一中心”建设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。我单位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整体定位为集国际国内贸易、保税加工、保税物流、保税服务、进出口商品展示交易等内外贸一体化的新型综合保税区，重点发展电子信息智能制造、进口粮食加工、进口肉类加工、进口天然橡胶加工、进出口商品展示交易等主导产业。园区现有注册企业近300家，2022年实现进出口贸易额537.8亿元，税务部门实现税收收入4.35亿元。岳阳跨境电商综试区实现跨境电商进出口额19.1亿元.不断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拓展产业链，做强项目实体，招大引强产业项目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聚焦供应链，做亮品牌效应，扩大融资规模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延伸服务链，做优发展环境。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2022年获评湖南省打造内陆地区改革开放高地先进园区。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绩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一级指标</w:t>
            </w:r>
          </w:p>
        </w:tc>
        <w:tc>
          <w:tcPr>
            <w:tcW w:w="10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二级指标</w:t>
            </w: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三级指标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年度指标值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实际完成值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分值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得分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both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偏差原因分析及改进措施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产出指标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(50分)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数量指标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平行进口汽车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≥7000台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清关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1600台到港在库2300台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2.8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受国内汽车排放标准影响；后续根据最新排放标准进口汽车。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  <w:t>进口粮食、橡胶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0"/>
                <w:szCs w:val="20"/>
                <w:lang w:val="en-US" w:eastAsia="zh-CN"/>
              </w:rPr>
              <w:t>≥500万吨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清关357.86万吨</w:t>
            </w:r>
          </w:p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保税在库150万吨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受国内外疫情及国际关系变动的影响；后续将积极开展进出口业务。</w:t>
            </w: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进口肉类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≥9万吨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清关5.7万吨</w:t>
            </w:r>
          </w:p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保税在库3万吨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4.8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受国内外疫情及国际关系变动的影响；后续将积极开展进出口业务。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进口木材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≥100万方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116.69万方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质量指标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简化通关流程,缩减通关时间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通关时效提升≥80%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通关时效提升≥80%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基础设施日常维护达标率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≥99%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≥99%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时效指标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事项完成及时率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≥95%　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≥95%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成本指标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严格管理经费支出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≥100%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≥100%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10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效益指标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（30分）</w:t>
            </w:r>
          </w:p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经济效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益指标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进出口贸易额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≥650亿元　</w:t>
            </w:r>
          </w:p>
        </w:tc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537.8亿元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4.14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受国内外疫情及国际关系变动的影响；后续将积极开展进出口业务。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园区技工贸总收入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≥300亿元</w:t>
            </w:r>
          </w:p>
        </w:tc>
        <w:tc>
          <w:tcPr>
            <w:tcW w:w="1269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484.09亿元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社会效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益指标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带动社会就业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≥2万人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≥2万人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促进地区经济发展，拉动周边地区就业，拉动地方税收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带动周边产业发展</w:t>
            </w: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带动周边产业发展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生态效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益指标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土地资源、水资源、电力等资源能得到最大化利用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≥95%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≥95%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continue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节能高效的社会环境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≥95%</w:t>
            </w:r>
          </w:p>
        </w:tc>
        <w:tc>
          <w:tcPr>
            <w:tcW w:w="12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≥95%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可持续影响指标</w:t>
            </w:r>
          </w:p>
        </w:tc>
        <w:tc>
          <w:tcPr>
            <w:tcW w:w="12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生态优先，绿色发展效益最大化</w:t>
            </w:r>
          </w:p>
        </w:tc>
        <w:tc>
          <w:tcPr>
            <w:tcW w:w="13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明显提高</w:t>
            </w:r>
          </w:p>
        </w:tc>
        <w:tc>
          <w:tcPr>
            <w:tcW w:w="12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明显提高</w:t>
            </w:r>
          </w:p>
        </w:tc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满意度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指标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（10分）</w:t>
            </w:r>
          </w:p>
        </w:tc>
        <w:tc>
          <w:tcPr>
            <w:tcW w:w="1034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服务对象满意度指标</w:t>
            </w:r>
          </w:p>
        </w:tc>
        <w:tc>
          <w:tcPr>
            <w:tcW w:w="127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社会公众满意度</w:t>
            </w:r>
          </w:p>
        </w:tc>
        <w:tc>
          <w:tcPr>
            <w:tcW w:w="131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≥95%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≥95%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10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80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034" w:type="dxa"/>
            <w:vMerge w:val="continue"/>
            <w:tcBorders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</w:p>
        </w:tc>
        <w:tc>
          <w:tcPr>
            <w:tcW w:w="127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服务对象满意度</w:t>
            </w:r>
          </w:p>
        </w:tc>
        <w:tc>
          <w:tcPr>
            <w:tcW w:w="131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≥95%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</w:p>
        </w:tc>
        <w:tc>
          <w:tcPr>
            <w:tcW w:w="12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≥95%</w:t>
            </w:r>
          </w:p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704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总分</w:t>
            </w:r>
          </w:p>
        </w:tc>
        <w:tc>
          <w:tcPr>
            <w:tcW w:w="71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100</w:t>
            </w:r>
          </w:p>
        </w:tc>
        <w:tc>
          <w:tcPr>
            <w:tcW w:w="87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default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  <w:t>96.74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　</w:t>
            </w:r>
          </w:p>
        </w:tc>
      </w:tr>
    </w:tbl>
    <w:p>
      <w:pPr>
        <w:spacing w:after="120" w:afterLines="50" w:line="600" w:lineRule="exact"/>
        <w:jc w:val="both"/>
        <w:rPr>
          <w:rFonts w:hint="default" w:ascii="Times New Roman" w:hAnsi="Times New Roman" w:eastAsia="仿宋_GB2312" w:cs="Times New Roman"/>
          <w:sz w:val="22"/>
          <w:szCs w:val="22"/>
        </w:rPr>
      </w:pPr>
      <w:r>
        <w:rPr>
          <w:rFonts w:hint="default" w:ascii="Times New Roman" w:hAnsi="Times New Roman" w:eastAsia="仿宋_GB2312" w:cs="Times New Roman"/>
          <w:sz w:val="22"/>
        </w:rPr>
        <w:t>填表人：</w:t>
      </w:r>
      <w:r>
        <w:rPr>
          <w:rFonts w:hint="eastAsia" w:ascii="Times New Roman" w:hAnsi="Times New Roman" w:eastAsia="仿宋_GB2312" w:cs="Times New Roman"/>
          <w:sz w:val="22"/>
          <w:lang w:eastAsia="zh-CN"/>
        </w:rPr>
        <w:t>赵晨宏</w:t>
      </w:r>
      <w:r>
        <w:rPr>
          <w:rFonts w:hint="default" w:ascii="Times New Roman" w:hAnsi="Times New Roman" w:eastAsia="仿宋_GB2312" w:cs="Times New Roman"/>
          <w:sz w:val="22"/>
        </w:rPr>
        <w:t xml:space="preserve">   填报日期：</w:t>
      </w:r>
      <w:r>
        <w:rPr>
          <w:rFonts w:hint="eastAsia" w:ascii="Times New Roman" w:hAnsi="Times New Roman" w:eastAsia="仿宋_GB2312" w:cs="Times New Roman"/>
          <w:sz w:val="22"/>
          <w:lang w:val="en-US" w:eastAsia="zh-CN"/>
        </w:rPr>
        <w:t>2023.7.6</w:t>
      </w:r>
      <w:r>
        <w:rPr>
          <w:rFonts w:hint="default" w:ascii="Times New Roman" w:hAnsi="Times New Roman" w:eastAsia="仿宋_GB2312" w:cs="Times New Roman"/>
          <w:sz w:val="22"/>
        </w:rPr>
        <w:t xml:space="preserve">   联系电话：</w:t>
      </w:r>
      <w:r>
        <w:rPr>
          <w:rFonts w:hint="eastAsia" w:ascii="Times New Roman" w:hAnsi="Times New Roman" w:eastAsia="仿宋_GB2312" w:cs="Times New Roman"/>
          <w:sz w:val="22"/>
          <w:lang w:val="en-US" w:eastAsia="zh-CN"/>
        </w:rPr>
        <w:t>15200700358</w:t>
      </w:r>
      <w:r>
        <w:rPr>
          <w:rFonts w:hint="default" w:ascii="Times New Roman" w:hAnsi="Times New Roman" w:eastAsia="仿宋_GB2312" w:cs="Times New Roman"/>
          <w:sz w:val="22"/>
        </w:rPr>
        <w:t xml:space="preserve">  </w:t>
      </w:r>
      <w:r>
        <w:rPr>
          <w:rFonts w:hint="eastAsia" w:ascii="Times New Roman" w:hAnsi="Times New Roman" w:eastAsia="仿宋_GB2312" w:cs="Times New Roman"/>
          <w:sz w:val="22"/>
          <w:szCs w:val="22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sz w:val="22"/>
          <w:szCs w:val="22"/>
        </w:rPr>
        <w:t>单位负责人签字：</w:t>
      </w:r>
    </w:p>
    <w:p>
      <w:pPr>
        <w:pStyle w:val="2"/>
        <w:rPr>
          <w:rFonts w:hint="default" w:ascii="Times New Roman" w:hAnsi="Times New Roman" w:eastAsia="仿宋_GB2312" w:cs="Times New Roman"/>
          <w:sz w:val="22"/>
          <w:szCs w:val="22"/>
        </w:rPr>
      </w:pPr>
    </w:p>
    <w:p>
      <w:pPr>
        <w:pStyle w:val="3"/>
        <w:rPr>
          <w:rFonts w:hint="default" w:ascii="Times New Roman" w:hAnsi="Times New Roman" w:eastAsia="仿宋_GB2312" w:cs="Times New Roman"/>
          <w:sz w:val="22"/>
          <w:szCs w:val="22"/>
        </w:rPr>
      </w:pPr>
    </w:p>
    <w:p>
      <w:pPr>
        <w:pStyle w:val="3"/>
        <w:rPr>
          <w:rFonts w:hint="default" w:ascii="Times New Roman" w:hAnsi="Times New Roman" w:eastAsia="仿宋_GB2312" w:cs="Times New Roman"/>
          <w:sz w:val="22"/>
          <w:szCs w:val="22"/>
        </w:rPr>
      </w:pPr>
    </w:p>
    <w:p>
      <w:pPr>
        <w:pStyle w:val="3"/>
        <w:rPr>
          <w:rFonts w:hint="default" w:ascii="Times New Roman" w:hAnsi="Times New Roman" w:eastAsia="仿宋_GB2312" w:cs="Times New Roman"/>
          <w:sz w:val="22"/>
          <w:szCs w:val="22"/>
        </w:rPr>
      </w:pPr>
    </w:p>
    <w:p>
      <w:pPr>
        <w:pStyle w:val="3"/>
        <w:rPr>
          <w:rFonts w:hint="eastAsia" w:ascii="Times New Roman" w:hAnsi="Times New Roman" w:eastAsia="仿宋_GB2312" w:cs="Times New Roman"/>
          <w:sz w:val="22"/>
          <w:szCs w:val="22"/>
          <w:lang w:val="en-US" w:eastAsia="zh-CN"/>
        </w:rPr>
      </w:pPr>
    </w:p>
    <w:p>
      <w:pPr>
        <w:spacing w:after="120" w:afterLines="50" w:line="60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年度部门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  <w:t>社会保险基金决算支出</w:t>
      </w: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表</w:t>
      </w:r>
    </w:p>
    <w:p>
      <w:pPr>
        <w:widowControl/>
        <w:spacing w:line="240" w:lineRule="exact"/>
        <w:jc w:val="left"/>
        <w:rPr>
          <w:rFonts w:hint="default" w:ascii="仿宋_GB2312" w:hAnsi="仿宋_GB2312" w:eastAsia="仿宋_GB2312" w:cs="仿宋_GB2312"/>
          <w:color w:val="000000"/>
          <w:sz w:val="20"/>
          <w:szCs w:val="20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20"/>
          <w:szCs w:val="20"/>
          <w:lang w:eastAsia="zh-CN"/>
        </w:rPr>
        <w:t>部门（单位）名称：岳阳城陵矶综合保税区管理委员会</w:t>
      </w:r>
      <w:r>
        <w:rPr>
          <w:rFonts w:hint="eastAsia" w:ascii="仿宋_GB2312" w:hAnsi="仿宋_GB2312" w:eastAsia="仿宋_GB2312" w:cs="仿宋_GB2312"/>
          <w:color w:val="000000"/>
          <w:sz w:val="20"/>
          <w:szCs w:val="2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000000"/>
          <w:sz w:val="20"/>
          <w:szCs w:val="2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000000"/>
          <w:sz w:val="20"/>
          <w:szCs w:val="2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000000"/>
          <w:sz w:val="20"/>
          <w:szCs w:val="2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000000"/>
          <w:sz w:val="20"/>
          <w:szCs w:val="20"/>
          <w:lang w:val="en-US" w:eastAsia="zh-CN"/>
        </w:rPr>
        <w:tab/>
      </w:r>
      <w:r>
        <w:rPr>
          <w:rFonts w:hint="eastAsia" w:ascii="仿宋_GB2312" w:hAnsi="仿宋_GB2312" w:eastAsia="仿宋_GB2312" w:cs="仿宋_GB2312"/>
          <w:color w:val="000000"/>
          <w:sz w:val="20"/>
          <w:szCs w:val="20"/>
          <w:lang w:val="en-US" w:eastAsia="zh-CN"/>
        </w:rPr>
        <w:t>金额单位：元</w:t>
      </w:r>
    </w:p>
    <w:tbl>
      <w:tblPr>
        <w:tblStyle w:val="7"/>
        <w:tblW w:w="9673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07"/>
        <w:gridCol w:w="3750"/>
        <w:gridCol w:w="1975"/>
        <w:gridCol w:w="204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190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支出功能分类科目代码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科目名称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保险基金收入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eastAsia="zh-CN"/>
              </w:rPr>
              <w:t>保险基金支出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8" w:hRule="atLeast"/>
          <w:jc w:val="center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社会保障和就业支出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198,024.48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198,024.48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20805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行政事业单位养老支出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198,024.48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198,024.48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  <w:jc w:val="center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2080505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机关事业单位基本养老保险缴费支出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198,024.48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198,024.48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卫生健康支出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96,675.18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96,675.18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  <w:jc w:val="center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21011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行政事业单位医疗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96,675.18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96,675.18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9" w:hRule="atLeast"/>
          <w:jc w:val="center"/>
        </w:trPr>
        <w:tc>
          <w:tcPr>
            <w:tcW w:w="190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2101102</w:t>
            </w:r>
          </w:p>
        </w:tc>
        <w:tc>
          <w:tcPr>
            <w:tcW w:w="3750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事业单位医疗</w:t>
            </w:r>
          </w:p>
        </w:tc>
        <w:tc>
          <w:tcPr>
            <w:tcW w:w="1975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96,675.18</w:t>
            </w:r>
          </w:p>
        </w:tc>
        <w:tc>
          <w:tcPr>
            <w:tcW w:w="204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spacing w:line="24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0"/>
                <w:szCs w:val="20"/>
              </w:rPr>
              <w:t>96,675.18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textAlignment w:val="auto"/>
      </w:pPr>
    </w:p>
    <w:sectPr>
      <w:footerReference r:id="rId3" w:type="default"/>
      <w:pgSz w:w="11906" w:h="16838"/>
      <w:pgMar w:top="1587" w:right="1587" w:bottom="1587" w:left="1587" w:header="851" w:footer="992" w:gutter="0"/>
      <w:paperSrc/>
      <w:pgNumType w:fmt="decimal"/>
      <w:cols w:space="720" w:num="1"/>
      <w:rtlGutter w:val="0"/>
      <w:docGrid w:type="lines" w:linePitch="39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02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rPr>
                              <w:rFonts w:hint="default" w:ascii="Times New Roman" w:hAnsi="Times New Roman" w:eastAsia="宋体" w:cs="Times New Roman"/>
                              <w:sz w:val="24"/>
                              <w:szCs w:val="24"/>
                              <w:lang w:eastAsia="zh-CN"/>
                            </w:rPr>
                          </w:pP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default" w:ascii="Times New Roman" w:hAnsi="Times New Roman" w:cs="Times New Roman"/>
                              <w:sz w:val="24"/>
                              <w:szCs w:val="24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025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  <w:rPr>
                        <w:rFonts w:hint="default" w:ascii="Times New Roman" w:hAnsi="Times New Roman" w:eastAsia="宋体" w:cs="Times New Roman"/>
                        <w:sz w:val="24"/>
                        <w:szCs w:val="24"/>
                        <w:lang w:eastAsia="zh-CN"/>
                      </w:rPr>
                    </w:pP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—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begin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separate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1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fldChar w:fldCharType="end"/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default" w:ascii="Times New Roman" w:hAnsi="Times New Roman" w:cs="Times New Roman"/>
                        <w:sz w:val="24"/>
                        <w:szCs w:val="24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63795D2"/>
    <w:multiLevelType w:val="singleLevel"/>
    <w:tmpl w:val="A63795D2"/>
    <w:lvl w:ilvl="0" w:tentative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A734D533"/>
    <w:multiLevelType w:val="singleLevel"/>
    <w:tmpl w:val="A734D533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0"/>
  <w:bordersDoNotSurroundFooter w:val="0"/>
  <w:documentProtection w:enforcement="0"/>
  <w:defaultTabStop w:val="420"/>
  <w:hyphenationZone w:val="360"/>
  <w:drawingGridVerticalSpacing w:val="195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23E147E"/>
    <w:rsid w:val="02D13AA8"/>
    <w:rsid w:val="03EA041C"/>
    <w:rsid w:val="06494230"/>
    <w:rsid w:val="06CB37A1"/>
    <w:rsid w:val="0B1A6679"/>
    <w:rsid w:val="0C0F0642"/>
    <w:rsid w:val="0C233266"/>
    <w:rsid w:val="0F7C3B8C"/>
    <w:rsid w:val="11C80CE3"/>
    <w:rsid w:val="11E35089"/>
    <w:rsid w:val="13E822D9"/>
    <w:rsid w:val="14D32A44"/>
    <w:rsid w:val="15732C83"/>
    <w:rsid w:val="17F7788B"/>
    <w:rsid w:val="1A893CD4"/>
    <w:rsid w:val="1DA510DB"/>
    <w:rsid w:val="1DAB6CD0"/>
    <w:rsid w:val="1E2C578C"/>
    <w:rsid w:val="21316710"/>
    <w:rsid w:val="21EB477C"/>
    <w:rsid w:val="27744E56"/>
    <w:rsid w:val="2A6227AB"/>
    <w:rsid w:val="2B1144D8"/>
    <w:rsid w:val="2C4B14B4"/>
    <w:rsid w:val="2E0B080E"/>
    <w:rsid w:val="2EB80FBF"/>
    <w:rsid w:val="2EDE6EAC"/>
    <w:rsid w:val="305D5FB3"/>
    <w:rsid w:val="36502E7E"/>
    <w:rsid w:val="36746302"/>
    <w:rsid w:val="37FC7C58"/>
    <w:rsid w:val="39963A88"/>
    <w:rsid w:val="3ABF0799"/>
    <w:rsid w:val="3ADB240C"/>
    <w:rsid w:val="3B681DE2"/>
    <w:rsid w:val="3C75644C"/>
    <w:rsid w:val="3E605328"/>
    <w:rsid w:val="3E69364E"/>
    <w:rsid w:val="3F5F4FF7"/>
    <w:rsid w:val="3FE7309D"/>
    <w:rsid w:val="424144EE"/>
    <w:rsid w:val="44541BD4"/>
    <w:rsid w:val="4455081E"/>
    <w:rsid w:val="46B64CF3"/>
    <w:rsid w:val="4B1936C2"/>
    <w:rsid w:val="4B942563"/>
    <w:rsid w:val="4F916E36"/>
    <w:rsid w:val="501D27CD"/>
    <w:rsid w:val="558966E2"/>
    <w:rsid w:val="56B644EA"/>
    <w:rsid w:val="59590A7F"/>
    <w:rsid w:val="5ABE37E9"/>
    <w:rsid w:val="5AF0176D"/>
    <w:rsid w:val="5BE54309"/>
    <w:rsid w:val="5E0C49BD"/>
    <w:rsid w:val="5F2F409E"/>
    <w:rsid w:val="5FDF9D25"/>
    <w:rsid w:val="6227537C"/>
    <w:rsid w:val="634B299E"/>
    <w:rsid w:val="648311FA"/>
    <w:rsid w:val="66A23257"/>
    <w:rsid w:val="6AF827CC"/>
    <w:rsid w:val="6B9008B7"/>
    <w:rsid w:val="6E420EDD"/>
    <w:rsid w:val="6E5C0E42"/>
    <w:rsid w:val="6F7540DD"/>
    <w:rsid w:val="70F9076F"/>
    <w:rsid w:val="7166767C"/>
    <w:rsid w:val="71D71165"/>
    <w:rsid w:val="725F3101"/>
    <w:rsid w:val="746A7F36"/>
    <w:rsid w:val="78AE7934"/>
    <w:rsid w:val="7B150540"/>
    <w:rsid w:val="7B7C6A2C"/>
    <w:rsid w:val="7DDF84BA"/>
    <w:rsid w:val="7E681E55"/>
    <w:rsid w:val="7E9D4EF9"/>
    <w:rsid w:val="7EA429DF"/>
    <w:rsid w:val="7F153212"/>
    <w:rsid w:val="7F726DF2"/>
    <w:rsid w:val="7F9B7D6E"/>
    <w:rsid w:val="7FF65C39"/>
    <w:rsid w:val="B57639E9"/>
    <w:rsid w:val="B7DFD28A"/>
    <w:rsid w:val="CCFF8E41"/>
    <w:rsid w:val="F7FB0F6A"/>
    <w:rsid w:val="FB0FB09A"/>
    <w:rsid w:val="FB7F71D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99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" w:hAnsi="仿宋" w:eastAsia="宋体" w:cs="Times New Roman"/>
      <w:kern w:val="0"/>
      <w:sz w:val="28"/>
      <w:szCs w:val="24"/>
      <w:lang w:val="en-US" w:eastAsia="zh-CN" w:bidi="ar-SA"/>
    </w:rPr>
  </w:style>
  <w:style w:type="paragraph" w:styleId="2">
    <w:name w:val="heading 1"/>
    <w:basedOn w:val="1"/>
    <w:next w:val="3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semiHidden/>
    <w:uiPriority w:val="0"/>
  </w:style>
  <w:style w:type="table" w:default="1" w:styleId="7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2"/>
    <w:basedOn w:val="1"/>
    <w:qFormat/>
    <w:uiPriority w:val="0"/>
    <w:pPr>
      <w:spacing w:line="360" w:lineRule="auto"/>
      <w:ind w:firstLine="420" w:firstLineChars="200"/>
    </w:pPr>
  </w:style>
  <w:style w:type="paragraph" w:styleId="4">
    <w:name w:val="toa heading"/>
    <w:basedOn w:val="1"/>
    <w:next w:val="1"/>
    <w:qFormat/>
    <w:uiPriority w:val="99"/>
    <w:pPr>
      <w:spacing w:before="120" w:after="200" w:line="276" w:lineRule="auto"/>
    </w:pPr>
    <w:rPr>
      <w:rFonts w:ascii="Arial" w:hAnsi="Arial"/>
      <w:sz w:val="24"/>
    </w:rPr>
  </w:style>
  <w:style w:type="paragraph" w:styleId="5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uiPriority w:val="0"/>
    <w:pPr>
      <w:widowControl w:val="0"/>
      <w:jc w:val="both"/>
    </w:pPr>
    <w:tblPr>
      <w:tblStyle w:val="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unhideWhenUsed/>
    <w:qFormat/>
    <w:uiPriority w:val="0"/>
    <w:rPr>
      <w:rFonts w:hint="default"/>
      <w:sz w:val="24"/>
    </w:rPr>
  </w:style>
  <w:style w:type="character" w:customStyle="1" w:styleId="11">
    <w:name w:val="15"/>
    <w:basedOn w:val="9"/>
    <w:uiPriority w:val="0"/>
    <w:rPr>
      <w:rFonts w:hint="default" w:ascii="Calibri" w:hAnsi="Calibri" w:cs="Calibri"/>
    </w:rPr>
  </w:style>
  <w:style w:type="paragraph" w:styleId="12">
    <w:name w:val="List Paragraph"/>
    <w:basedOn w:val="1"/>
    <w:qFormat/>
    <w:uiPriority w:val="99"/>
    <w:pPr>
      <w:ind w:firstLine="420" w:firstLineChars="200"/>
    </w:pPr>
    <w:rPr>
      <w:rFonts w:ascii="Calibri" w:hAnsi="Calibri"/>
      <w:szCs w:val="22"/>
    </w:rPr>
  </w:style>
  <w:style w:type="paragraph" w:customStyle="1" w:styleId="13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2023-05-13T09:09:00Z</dcterms:created>
  <dc:creator>yyadmin</dc:creator>
  <cp:lastModifiedBy>刘嘉炜</cp:lastModifiedBy>
  <cp:lastPrinted>2023-10-30T02:54:46Z</cp:lastPrinted>
  <dcterms:modified xsi:type="dcterms:W3CDTF">2023-10-30T03:07:05Z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2052-12.1.0.15398</vt:lpwstr>
  </property>
  <property fmtid="{D5CDD505-2E9C-101B-9397-08002B2CF9AE}" pid="3" name="ICV">
    <vt:lpwstr>188BE113935747198978DE3AC0CB0AFB_13</vt:lpwstr>
  </property>
</Properties>
</file>